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2025年度电气火灾CT</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5B07D36D">
      <w:pPr>
        <w:jc w:val="center"/>
        <w:rPr>
          <w:rFonts w:ascii="宋体" w:hAnsi="宋体"/>
          <w:b/>
          <w:sz w:val="48"/>
          <w:szCs w:val="48"/>
        </w:rPr>
      </w:pPr>
    </w:p>
    <w:p w14:paraId="561AA555">
      <w:pPr>
        <w:jc w:val="center"/>
        <w:rPr>
          <w:rFonts w:ascii="宋体" w:hAnsi="宋体" w:cs="宋体"/>
          <w:sz w:val="22"/>
          <w:szCs w:val="22"/>
        </w:rPr>
      </w:pPr>
    </w:p>
    <w:p w14:paraId="3FD39179">
      <w:pPr>
        <w:spacing w:line="360" w:lineRule="auto"/>
        <w:jc w:val="center"/>
        <w:rPr>
          <w:rFonts w:ascii="方正小标宋简体" w:eastAsia="方正小标宋简体"/>
          <w:sz w:val="72"/>
          <w:szCs w:val="72"/>
        </w:rPr>
      </w:pPr>
    </w:p>
    <w:p w14:paraId="7C1B6CD7">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2F8E0D93">
      <w:pPr>
        <w:pStyle w:val="56"/>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2025年0</w:t>
      </w:r>
      <w:r>
        <w:rPr>
          <w:rFonts w:asciiTheme="minorEastAsia" w:hAnsiTheme="minorEastAsia" w:eastAsiaTheme="minorEastAsia"/>
          <w:b/>
          <w:sz w:val="36"/>
          <w:szCs w:val="36"/>
        </w:rPr>
        <w:t>3</w:t>
      </w:r>
      <w:r>
        <w:rPr>
          <w:rFonts w:hint="eastAsia" w:asciiTheme="minorEastAsia" w:hAnsiTheme="minorEastAsia" w:eastAsiaTheme="minorEastAsia"/>
          <w:b/>
          <w:sz w:val="36"/>
          <w:szCs w:val="36"/>
        </w:rPr>
        <w:t>月</w:t>
      </w:r>
    </w:p>
    <w:p w14:paraId="60AD486A">
      <w:pPr>
        <w:pStyle w:val="223"/>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4E99DE5B">
          <w:pPr>
            <w:widowControl/>
            <w:jc w:val="center"/>
          </w:pPr>
        </w:p>
        <w:p w14:paraId="35AE0A84">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4"/>
            </w:rPr>
            <w:t>1</w:t>
          </w:r>
          <w:r>
            <w:rPr>
              <w:rStyle w:val="44"/>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2E25689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4"/>
            </w:rPr>
            <w:t>2</w:t>
          </w:r>
          <w:r>
            <w:rPr>
              <w:rStyle w:val="44"/>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56B80A30">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4"/>
            </w:rPr>
            <w:t>3</w:t>
          </w:r>
          <w:r>
            <w:rPr>
              <w:rStyle w:val="44"/>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3CD16F7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4"/>
            </w:rPr>
            <w:t>4</w:t>
          </w:r>
          <w:r>
            <w:rPr>
              <w:rStyle w:val="44"/>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2DD8FA91">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4"/>
            </w:rPr>
            <w:t>5</w:t>
          </w:r>
          <w:r>
            <w:rPr>
              <w:rStyle w:val="44"/>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18DAE485">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4"/>
            </w:rPr>
            <w:t>6</w:t>
          </w:r>
          <w:r>
            <w:rPr>
              <w:rStyle w:val="44"/>
              <w:rFonts w:hint="eastAsia"/>
            </w:rPr>
            <w:t>　试验</w:t>
          </w:r>
          <w:r>
            <w:tab/>
          </w:r>
          <w:r>
            <w:rPr>
              <w:rFonts w:hint="eastAsia"/>
              <w:lang w:val="en-US" w:eastAsia="zh-CN"/>
            </w:rPr>
            <w:t>6</w:t>
          </w:r>
          <w:r>
            <w:fldChar w:fldCharType="end"/>
          </w:r>
        </w:p>
        <w:p w14:paraId="679B714D">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4"/>
            </w:rPr>
            <w:t>7</w:t>
          </w:r>
          <w:r>
            <w:rPr>
              <w:rStyle w:val="44"/>
              <w:rFonts w:hint="eastAsia"/>
            </w:rPr>
            <w:t>　技术服务、工厂检验</w:t>
          </w:r>
          <w:r>
            <w:tab/>
          </w:r>
          <w:r>
            <w:rPr>
              <w:rFonts w:hint="eastAsia"/>
              <w:lang w:val="en-US" w:eastAsia="zh-CN"/>
            </w:rPr>
            <w:t>7</w:t>
          </w:r>
          <w:r>
            <w:fldChar w:fldCharType="end"/>
          </w:r>
        </w:p>
        <w:p w14:paraId="4F9138B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4"/>
            </w:rPr>
            <w:t>8</w:t>
          </w:r>
          <w:r>
            <w:rPr>
              <w:rStyle w:val="44"/>
              <w:rFonts w:hint="eastAsia"/>
            </w:rPr>
            <w:t>　报价表</w:t>
          </w:r>
          <w:r>
            <w:tab/>
          </w:r>
          <w:r>
            <w:rPr>
              <w:rFonts w:hint="eastAsia"/>
              <w:lang w:val="en-US" w:eastAsia="zh-CN"/>
            </w:rPr>
            <w:t>8</w:t>
          </w:r>
          <w:r>
            <w:fldChar w:fldCharType="end"/>
          </w:r>
        </w:p>
        <w:p w14:paraId="1A996DD6">
          <w:pPr>
            <w:adjustRightInd w:val="0"/>
            <w:snapToGrid w:val="0"/>
          </w:pPr>
          <w:r>
            <w:rPr>
              <w:szCs w:val="21"/>
            </w:rPr>
            <w:fldChar w:fldCharType="end"/>
          </w:r>
        </w:p>
      </w:sdtContent>
    </w:sdt>
    <w:p w14:paraId="0283EEEA">
      <w:pPr>
        <w:widowControl/>
        <w:jc w:val="center"/>
        <w:rPr>
          <w:rFonts w:asciiTheme="minorEastAsia" w:hAnsiTheme="minorEastAsia" w:eastAsiaTheme="minorEastAsia"/>
          <w:b/>
          <w:sz w:val="36"/>
          <w:szCs w:val="36"/>
        </w:rPr>
      </w:pPr>
    </w:p>
    <w:p w14:paraId="72997DE5">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1D02D9EB">
      <w:pPr>
        <w:pStyle w:val="61"/>
        <w:outlineLvl w:val="0"/>
      </w:pPr>
      <w:bookmarkStart w:id="0" w:name="_Toc355884468"/>
      <w:bookmarkStart w:id="1" w:name="_Toc438720041"/>
      <w:bookmarkStart w:id="2" w:name="_Toc396866892"/>
      <w:bookmarkStart w:id="3" w:name="_Toc344384427"/>
      <w:r>
        <w:rPr>
          <w:rFonts w:hint="eastAsia"/>
        </w:rPr>
        <w:t>1　范围</w:t>
      </w:r>
      <w:bookmarkEnd w:id="0"/>
      <w:bookmarkEnd w:id="1"/>
      <w:bookmarkEnd w:id="2"/>
      <w:bookmarkEnd w:id="3"/>
    </w:p>
    <w:p w14:paraId="03140136">
      <w:pPr>
        <w:topLinePunct/>
        <w:spacing w:line="326" w:lineRule="exact"/>
        <w:ind w:firstLine="420"/>
        <w:rPr>
          <w:snapToGrid w:val="0"/>
          <w:szCs w:val="21"/>
        </w:rPr>
      </w:pPr>
      <w:r>
        <w:rPr>
          <w:rFonts w:hint="eastAsia"/>
          <w:snapToGrid w:val="0"/>
          <w:szCs w:val="21"/>
        </w:rPr>
        <w:t>本部分规定了</w:t>
      </w:r>
      <w:r>
        <w:rPr>
          <w:rFonts w:hint="eastAsia"/>
          <w:snapToGrid w:val="0"/>
          <w:szCs w:val="21"/>
          <w:lang w:val="en-US" w:eastAsia="zh-CN"/>
        </w:rPr>
        <w:t>CT互感器</w:t>
      </w:r>
      <w:r>
        <w:rPr>
          <w:rFonts w:hint="eastAsia"/>
          <w:snapToGrid w:val="0"/>
          <w:szCs w:val="21"/>
        </w:rPr>
        <w:t>招标的总则、技术参数和性能要求、试验、包装、运输、交货及工厂检验和监造的一般要求。</w:t>
      </w:r>
    </w:p>
    <w:p w14:paraId="533CB16F">
      <w:pPr>
        <w:topLinePunct/>
        <w:spacing w:line="326" w:lineRule="exact"/>
        <w:ind w:firstLine="420"/>
        <w:rPr>
          <w:snapToGrid w:val="0"/>
          <w:szCs w:val="21"/>
        </w:rPr>
      </w:pPr>
      <w:r>
        <w:rPr>
          <w:rFonts w:hint="eastAsia"/>
          <w:snapToGrid w:val="0"/>
          <w:szCs w:val="21"/>
        </w:rPr>
        <w:t>本部分适用于</w:t>
      </w:r>
      <w:r>
        <w:rPr>
          <w:rFonts w:hint="eastAsia"/>
          <w:snapToGrid w:val="0"/>
          <w:szCs w:val="21"/>
          <w:lang w:val="en-US" w:eastAsia="zh-CN"/>
        </w:rPr>
        <w:t>CT互感器</w:t>
      </w:r>
      <w:r>
        <w:rPr>
          <w:rFonts w:hint="eastAsia"/>
          <w:snapToGrid w:val="0"/>
          <w:szCs w:val="21"/>
        </w:rPr>
        <w:t>的招标。</w:t>
      </w:r>
    </w:p>
    <w:p w14:paraId="04801B24">
      <w:pPr>
        <w:pStyle w:val="61"/>
        <w:outlineLvl w:val="0"/>
      </w:pPr>
      <w:bookmarkStart w:id="4" w:name="_Toc438720042"/>
      <w:r>
        <w:rPr>
          <w:rFonts w:hint="eastAsia"/>
        </w:rPr>
        <w:t>2　规范性引用文件</w:t>
      </w:r>
      <w:bookmarkEnd w:id="4"/>
    </w:p>
    <w:p w14:paraId="4188A3B9">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93667ED">
      <w:pPr>
        <w:topLinePunct/>
        <w:spacing w:line="326" w:lineRule="exact"/>
        <w:ind w:firstLine="420"/>
        <w:rPr>
          <w:rFonts w:hint="eastAsia"/>
          <w:snapToGrid w:val="0"/>
          <w:szCs w:val="21"/>
        </w:rPr>
      </w:pPr>
      <w:r>
        <w:rPr>
          <w:rFonts w:hint="eastAsia"/>
          <w:snapToGrid w:val="0"/>
          <w:szCs w:val="21"/>
        </w:rPr>
        <w:t>GB 1208-2016《电流互感器GB/T 20840.1-2010《互感器 第1部分：通用技术要求》</w:t>
      </w:r>
    </w:p>
    <w:p w14:paraId="6E23B5D3">
      <w:pPr>
        <w:topLinePunct/>
        <w:spacing w:line="326" w:lineRule="exact"/>
        <w:ind w:firstLine="420"/>
        <w:rPr>
          <w:rFonts w:hint="eastAsia"/>
          <w:snapToGrid w:val="0"/>
          <w:szCs w:val="21"/>
        </w:rPr>
      </w:pPr>
      <w:r>
        <w:rPr>
          <w:rFonts w:hint="eastAsia"/>
          <w:snapToGrid w:val="0"/>
          <w:szCs w:val="21"/>
        </w:rPr>
        <w:t>GB/T 20840.1-2010《互感器 第1部分：通用技术要求》DL/T 725-2013《电力用电流互感器使用规范》</w:t>
      </w:r>
    </w:p>
    <w:p w14:paraId="7F44D109">
      <w:pPr>
        <w:topLinePunct/>
        <w:spacing w:line="326" w:lineRule="exact"/>
        <w:ind w:firstLine="420"/>
        <w:rPr>
          <w:rFonts w:hint="eastAsia"/>
          <w:snapToGrid w:val="0"/>
          <w:szCs w:val="21"/>
        </w:rPr>
      </w:pPr>
      <w:r>
        <w:rPr>
          <w:rFonts w:hint="eastAsia"/>
          <w:snapToGrid w:val="0"/>
          <w:szCs w:val="21"/>
        </w:rPr>
        <w:t>IEC 61869-1:2019《通用技术要求》</w:t>
      </w:r>
    </w:p>
    <w:p w14:paraId="678C9427">
      <w:pPr>
        <w:topLinePunct/>
        <w:spacing w:line="326" w:lineRule="exact"/>
        <w:ind w:firstLine="420"/>
        <w:rPr>
          <w:rFonts w:hint="default"/>
          <w:snapToGrid w:val="0"/>
          <w:szCs w:val="21"/>
        </w:rPr>
      </w:pPr>
      <w:r>
        <w:rPr>
          <w:rFonts w:hint="default"/>
          <w:snapToGrid w:val="0"/>
          <w:szCs w:val="21"/>
        </w:rPr>
        <w:t>IEC 61869-2:2022《电流互感器的补充要求》</w:t>
      </w:r>
    </w:p>
    <w:p w14:paraId="0E232024">
      <w:pPr>
        <w:topLinePunct/>
        <w:spacing w:line="326" w:lineRule="exact"/>
        <w:ind w:firstLine="420"/>
        <w:rPr>
          <w:rFonts w:hint="eastAsia"/>
          <w:snapToGrid w:val="0"/>
          <w:szCs w:val="21"/>
        </w:rPr>
      </w:pPr>
      <w:r>
        <w:rPr>
          <w:rFonts w:hint="eastAsia"/>
          <w:snapToGrid w:val="0"/>
          <w:szCs w:val="21"/>
        </w:rPr>
        <w:t>GB/T 17626.1-2018《电磁兼容试验和测量技术抗扰度试验总论》</w:t>
      </w:r>
    </w:p>
    <w:p w14:paraId="5E6B4AA0">
      <w:pPr>
        <w:topLinePunct/>
        <w:spacing w:line="326" w:lineRule="exact"/>
        <w:ind w:firstLine="420"/>
        <w:rPr>
          <w:rFonts w:hint="eastAsia"/>
          <w:snapToGrid w:val="0"/>
          <w:szCs w:val="21"/>
        </w:rPr>
      </w:pPr>
      <w:r>
        <w:rPr>
          <w:rFonts w:hint="eastAsia"/>
          <w:snapToGrid w:val="0"/>
          <w:szCs w:val="21"/>
        </w:rPr>
        <w:t>DL/T 725-2013《电力用电流互感器使用规范》</w:t>
      </w:r>
    </w:p>
    <w:p w14:paraId="22A826D4">
      <w:pPr>
        <w:pStyle w:val="61"/>
        <w:outlineLvl w:val="0"/>
      </w:pPr>
      <w:bookmarkStart w:id="5" w:name="_Toc438720043"/>
      <w:r>
        <w:rPr>
          <w:rFonts w:hint="eastAsia"/>
        </w:rPr>
        <w:t>3　术语和定义</w:t>
      </w:r>
      <w:bookmarkEnd w:id="5"/>
    </w:p>
    <w:p w14:paraId="723355D3">
      <w:pPr>
        <w:topLinePunct/>
        <w:spacing w:line="326" w:lineRule="exact"/>
        <w:ind w:firstLine="420"/>
        <w:rPr>
          <w:snapToGrid w:val="0"/>
          <w:szCs w:val="21"/>
        </w:rPr>
      </w:pPr>
      <w:r>
        <w:rPr>
          <w:rFonts w:hint="eastAsia"/>
          <w:snapToGrid w:val="0"/>
          <w:szCs w:val="21"/>
        </w:rPr>
        <w:t>下列术语和定义适用于本文件。</w:t>
      </w:r>
    </w:p>
    <w:p w14:paraId="6FC39329">
      <w:pPr>
        <w:topLinePunct/>
        <w:spacing w:line="326" w:lineRule="exact"/>
        <w:ind w:firstLine="420"/>
        <w:rPr>
          <w:snapToGrid w:val="0"/>
          <w:szCs w:val="21"/>
        </w:rPr>
      </w:pPr>
      <w:r>
        <w:rPr>
          <w:snapToGrid w:val="0"/>
          <w:szCs w:val="21"/>
        </w:rPr>
        <w:t>3.1</w:t>
      </w:r>
      <w:r>
        <w:rPr>
          <w:rFonts w:hint="eastAsia"/>
          <w:snapToGrid w:val="0"/>
          <w:szCs w:val="21"/>
        </w:rPr>
        <w:t>　</w:t>
      </w:r>
    </w:p>
    <w:p w14:paraId="2B1D79C1">
      <w:pPr>
        <w:topLinePunct/>
        <w:spacing w:line="326" w:lineRule="exact"/>
        <w:ind w:firstLine="420"/>
        <w:rPr>
          <w:snapToGrid w:val="0"/>
          <w:szCs w:val="21"/>
        </w:rPr>
      </w:pPr>
      <w:r>
        <w:rPr>
          <w:rFonts w:hint="eastAsia"/>
          <w:snapToGrid w:val="0"/>
          <w:szCs w:val="21"/>
        </w:rPr>
        <w:t>招标人　</w:t>
      </w:r>
      <w:r>
        <w:rPr>
          <w:snapToGrid w:val="0"/>
          <w:szCs w:val="21"/>
        </w:rPr>
        <w:t>bidder</w:t>
      </w:r>
    </w:p>
    <w:p w14:paraId="6E7D0E39">
      <w:pPr>
        <w:topLinePunct/>
        <w:spacing w:line="326" w:lineRule="exact"/>
        <w:ind w:firstLine="420"/>
        <w:rPr>
          <w:snapToGrid w:val="0"/>
          <w:szCs w:val="21"/>
        </w:rPr>
      </w:pPr>
      <w:r>
        <w:rPr>
          <w:rFonts w:hint="eastAsia"/>
          <w:snapToGrid w:val="0"/>
          <w:szCs w:val="21"/>
        </w:rPr>
        <w:t>提出招标项目，进行招标的法人或其他组织。</w:t>
      </w:r>
    </w:p>
    <w:p w14:paraId="65E5D306">
      <w:pPr>
        <w:topLinePunct/>
        <w:spacing w:line="326" w:lineRule="exact"/>
        <w:ind w:firstLine="420"/>
        <w:rPr>
          <w:snapToGrid w:val="0"/>
          <w:szCs w:val="21"/>
        </w:rPr>
      </w:pPr>
      <w:r>
        <w:rPr>
          <w:snapToGrid w:val="0"/>
          <w:szCs w:val="21"/>
        </w:rPr>
        <w:t>3.2</w:t>
      </w:r>
      <w:r>
        <w:rPr>
          <w:rFonts w:hint="eastAsia"/>
          <w:snapToGrid w:val="0"/>
          <w:szCs w:val="21"/>
        </w:rPr>
        <w:t>　</w:t>
      </w:r>
    </w:p>
    <w:p w14:paraId="06776565">
      <w:pPr>
        <w:topLinePunct/>
        <w:spacing w:line="326" w:lineRule="exact"/>
        <w:ind w:firstLine="420"/>
        <w:rPr>
          <w:snapToGrid w:val="0"/>
          <w:szCs w:val="21"/>
        </w:rPr>
      </w:pPr>
      <w:r>
        <w:rPr>
          <w:rFonts w:hint="eastAsia"/>
          <w:snapToGrid w:val="0"/>
          <w:szCs w:val="21"/>
        </w:rPr>
        <w:t>投标人　</w:t>
      </w:r>
      <w:r>
        <w:rPr>
          <w:snapToGrid w:val="0"/>
          <w:szCs w:val="21"/>
        </w:rPr>
        <w:t>tenderer</w:t>
      </w:r>
    </w:p>
    <w:p w14:paraId="2218F422">
      <w:pPr>
        <w:topLinePunct/>
        <w:spacing w:line="326" w:lineRule="exact"/>
        <w:ind w:firstLine="420"/>
        <w:rPr>
          <w:snapToGrid w:val="0"/>
          <w:szCs w:val="21"/>
        </w:rPr>
      </w:pPr>
      <w:r>
        <w:rPr>
          <w:rFonts w:hint="eastAsia"/>
          <w:snapToGrid w:val="0"/>
          <w:szCs w:val="21"/>
        </w:rPr>
        <w:t>响应招标、参加投标竞争的法人或者其他组织。</w:t>
      </w:r>
    </w:p>
    <w:p w14:paraId="522F01D8">
      <w:pPr>
        <w:topLinePunct/>
        <w:spacing w:line="326" w:lineRule="exact"/>
        <w:ind w:firstLine="420"/>
        <w:rPr>
          <w:snapToGrid w:val="0"/>
          <w:szCs w:val="21"/>
        </w:rPr>
      </w:pPr>
      <w:r>
        <w:rPr>
          <w:snapToGrid w:val="0"/>
          <w:szCs w:val="21"/>
        </w:rPr>
        <w:t>3.3</w:t>
      </w:r>
      <w:r>
        <w:rPr>
          <w:rFonts w:hint="eastAsia"/>
          <w:snapToGrid w:val="0"/>
          <w:szCs w:val="21"/>
        </w:rPr>
        <w:t>　</w:t>
      </w:r>
    </w:p>
    <w:p w14:paraId="3BBFB371">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00E26872">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495F5ADF">
      <w:pPr>
        <w:topLinePunct/>
        <w:spacing w:line="326" w:lineRule="exact"/>
        <w:ind w:firstLine="420"/>
        <w:rPr>
          <w:snapToGrid w:val="0"/>
          <w:szCs w:val="21"/>
        </w:rPr>
      </w:pPr>
      <w:r>
        <w:rPr>
          <w:snapToGrid w:val="0"/>
          <w:szCs w:val="21"/>
        </w:rPr>
        <w:t>3.4</w:t>
      </w:r>
    </w:p>
    <w:p w14:paraId="70F0A85A">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1C9AC11">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73741094">
      <w:pPr>
        <w:pStyle w:val="61"/>
        <w:outlineLvl w:val="0"/>
      </w:pPr>
      <w:bookmarkStart w:id="6" w:name="_Toc438720044"/>
      <w:r>
        <w:rPr>
          <w:rFonts w:hint="eastAsia"/>
        </w:rPr>
        <w:t>4　总则</w:t>
      </w:r>
      <w:bookmarkEnd w:id="6"/>
    </w:p>
    <w:p w14:paraId="6FA15802">
      <w:pPr>
        <w:pStyle w:val="60"/>
      </w:pPr>
      <w:r>
        <w:rPr>
          <w:rFonts w:hint="eastAsia"/>
        </w:rPr>
        <w:t>4</w:t>
      </w:r>
      <w:r>
        <w:rPr>
          <w:rFonts w:hint="eastAsia"/>
          <w:spacing w:val="20"/>
        </w:rPr>
        <w:t>.</w:t>
      </w:r>
      <w:r>
        <w:rPr>
          <w:rFonts w:hint="eastAsia"/>
        </w:rPr>
        <w:t>1　一般规定</w:t>
      </w:r>
    </w:p>
    <w:p w14:paraId="06246ECD">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7A0FF9A4">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486C965">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08B8178F">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1DA61921">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467CCF67">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460AF0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3B1CDB17">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28612B1C">
      <w:pPr>
        <w:topLinePunct/>
        <w:spacing w:line="312" w:lineRule="exact"/>
        <w:ind w:firstLine="420"/>
        <w:rPr>
          <w:snapToGrid w:val="0"/>
          <w:szCs w:val="21"/>
        </w:rPr>
      </w:pPr>
      <w:r>
        <w:rPr>
          <w:rFonts w:hint="eastAsia"/>
          <w:snapToGrid w:val="0"/>
          <w:szCs w:val="21"/>
        </w:rPr>
        <w:t>投标人应提供下列资格文件：</w:t>
      </w:r>
    </w:p>
    <w:p w14:paraId="773233E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5B6895E5">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68041CC9">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394DB741">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78A8C21C">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71335C6B">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736FD43A">
      <w:pPr>
        <w:pStyle w:val="60"/>
      </w:pPr>
      <w:r>
        <w:rPr>
          <w:rFonts w:hint="eastAsia"/>
        </w:rPr>
        <w:t>4</w:t>
      </w:r>
      <w:r>
        <w:rPr>
          <w:rFonts w:hint="eastAsia"/>
          <w:spacing w:val="20"/>
        </w:rPr>
        <w:t>.</w:t>
      </w:r>
      <w:r>
        <w:rPr>
          <w:rFonts w:hint="eastAsia"/>
        </w:rPr>
        <w:t>3　适用范围</w:t>
      </w:r>
    </w:p>
    <w:p w14:paraId="2D218B5D">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7E1E763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6CE0053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3D4C94E8">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72070C1E">
      <w:pPr>
        <w:topLinePunct/>
        <w:spacing w:line="312" w:lineRule="exact"/>
        <w:ind w:firstLine="420"/>
        <w:rPr>
          <w:szCs w:val="21"/>
        </w:rPr>
      </w:pPr>
      <w:r>
        <w:rPr>
          <w:rFonts w:hint="eastAsia"/>
          <w:szCs w:val="21"/>
        </w:rPr>
        <w:t>投标人应提供具体投标系列所对应的资质文件：</w:t>
      </w:r>
    </w:p>
    <w:p w14:paraId="234D8F53">
      <w:pPr>
        <w:ind w:left="840" w:hanging="420"/>
      </w:pPr>
      <w:r>
        <w:t>a</w:t>
      </w:r>
      <w:r>
        <w:rPr>
          <w:rFonts w:hint="eastAsia"/>
        </w:rPr>
        <w:t>）端子头/端子座/接线端子的3C证书、型式试验报告和出厂试验报告。</w:t>
      </w:r>
    </w:p>
    <w:p w14:paraId="6CB8C739">
      <w:pPr>
        <w:ind w:left="840" w:hanging="420"/>
      </w:pPr>
      <w:r>
        <w:t>b</w:t>
      </w:r>
      <w:r>
        <w:rPr>
          <w:rFonts w:hint="eastAsia"/>
        </w:rPr>
        <w:t>）</w:t>
      </w:r>
      <w:r>
        <w:tab/>
      </w:r>
      <w:r>
        <w:rPr>
          <w:rFonts w:hint="eastAsia"/>
          <w:snapToGrid w:val="0"/>
          <w:szCs w:val="21"/>
        </w:rPr>
        <w:t>端子头/端子座/接线端子</w:t>
      </w:r>
      <w:r>
        <w:rPr>
          <w:rFonts w:hint="eastAsia"/>
        </w:rPr>
        <w:t>的主要元件的型式试验报告和出厂试验报告。</w:t>
      </w:r>
    </w:p>
    <w:p w14:paraId="5DC5D32D">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576B8DA8">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36BE82C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72B09D8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76855C89">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5FBB8580">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0F7AA44D">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D50AA38">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407C04B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22FEFC3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7321E2A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45BCB88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5C550AFC">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67EFB3D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1057539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2B8DA79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1A9F2DD6">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3CE6B1E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3571376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063E7E94">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2CEA938E">
      <w:pPr>
        <w:pStyle w:val="61"/>
        <w:outlineLvl w:val="0"/>
        <w:rPr>
          <w:rFonts w:hint="eastAsia"/>
          <w:lang w:val="en-US" w:eastAsia="zh-CN"/>
        </w:rPr>
      </w:pPr>
      <w:bookmarkStart w:id="7" w:name="_Toc438720045"/>
      <w:r>
        <w:rPr>
          <w:rFonts w:hint="eastAsia"/>
        </w:rPr>
        <w:t>5　技术参数</w:t>
      </w:r>
      <w:bookmarkEnd w:id="7"/>
      <w:r>
        <w:rPr>
          <w:rFonts w:hint="eastAsia"/>
          <w:lang w:val="en-US" w:eastAsia="zh-CN"/>
        </w:rPr>
        <w:t>及性能要求</w:t>
      </w:r>
    </w:p>
    <w:p w14:paraId="45B75522">
      <w:pPr>
        <w:pStyle w:val="61"/>
        <w:outlineLvl w:val="0"/>
        <w:rPr>
          <w:rFonts w:hint="default"/>
          <w:lang w:val="en-US" w:eastAsia="zh-CN"/>
        </w:rPr>
      </w:pPr>
      <w:r>
        <w:rPr>
          <w:rFonts w:hint="eastAsia"/>
          <w:lang w:val="en-US" w:eastAsia="zh-CN"/>
        </w:rPr>
        <w:t>5.1具体型号及关键参数</w:t>
      </w:r>
    </w:p>
    <w:p w14:paraId="17596100">
      <w:pPr>
        <w:numPr>
          <w:ilvl w:val="0"/>
          <w:numId w:val="1"/>
        </w:numPr>
        <w:rPr>
          <w:rFonts w:hint="default"/>
          <w:lang w:val="en-US" w:eastAsia="zh-CN"/>
        </w:rPr>
      </w:pPr>
      <w:bookmarkStart w:id="8" w:name="_Toc358552337"/>
      <w:bookmarkStart w:id="9" w:name="_Toc358552375"/>
      <w:bookmarkStart w:id="10" w:name="_Toc363381650"/>
      <w:bookmarkStart w:id="11" w:name="_Toc363387107"/>
      <w:bookmarkStart w:id="12" w:name="_Toc363243289"/>
      <w:r>
        <w:rPr>
          <w:rFonts w:hint="eastAsia"/>
          <w:lang w:val="en-US" w:eastAsia="zh-CN"/>
        </w:rPr>
        <w:t>圆形</w:t>
      </w:r>
    </w:p>
    <w:tbl>
      <w:tblPr>
        <w:tblStyle w:val="38"/>
        <w:tblW w:w="69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70"/>
        <w:gridCol w:w="1920"/>
        <w:gridCol w:w="1335"/>
        <w:gridCol w:w="1575"/>
      </w:tblGrid>
      <w:tr w14:paraId="6FA5C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C7E5A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型号规格</w:t>
            </w:r>
          </w:p>
        </w:tc>
        <w:tc>
          <w:tcPr>
            <w:tcW w:w="19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9112874">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规格</w:t>
            </w:r>
          </w:p>
        </w:tc>
        <w:tc>
          <w:tcPr>
            <w:tcW w:w="1335" w:type="dxa"/>
            <w:vMerge w:val="restart"/>
            <w:tcBorders>
              <w:top w:val="single" w:color="000000" w:sz="8" w:space="0"/>
              <w:left w:val="nil"/>
              <w:bottom w:val="single" w:color="000000" w:sz="8" w:space="0"/>
              <w:right w:val="single" w:color="000000" w:sz="8" w:space="0"/>
            </w:tcBorders>
            <w:shd w:val="clear" w:color="auto" w:fill="auto"/>
            <w:vAlign w:val="center"/>
          </w:tcPr>
          <w:p w14:paraId="1CE23C6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Style w:val="241"/>
                <w:color w:val="auto"/>
                <w:lang w:val="en-US" w:eastAsia="zh-CN" w:bidi="ar"/>
              </w:rPr>
              <w:t>适用范围</w:t>
            </w:r>
            <w:r>
              <w:rPr>
                <w:rStyle w:val="217"/>
                <w:rFonts w:eastAsia="宋体"/>
                <w:color w:val="auto"/>
                <w:lang w:val="en-US" w:eastAsia="zh-CN" w:bidi="ar"/>
              </w:rPr>
              <w:t>(A)</w:t>
            </w:r>
          </w:p>
        </w:tc>
        <w:tc>
          <w:tcPr>
            <w:tcW w:w="1575" w:type="dxa"/>
            <w:vMerge w:val="restart"/>
            <w:tcBorders>
              <w:top w:val="single" w:color="000000" w:sz="8" w:space="0"/>
              <w:left w:val="nil"/>
              <w:bottom w:val="single" w:color="000000" w:sz="8" w:space="0"/>
              <w:right w:val="single" w:color="000000" w:sz="8" w:space="0"/>
            </w:tcBorders>
            <w:shd w:val="clear" w:color="auto" w:fill="auto"/>
            <w:vAlign w:val="top"/>
          </w:tcPr>
          <w:p w14:paraId="621A40B7">
            <w:pPr>
              <w:keepNext w:val="0"/>
              <w:keepLines w:val="0"/>
              <w:pageBreakBefore w:val="0"/>
              <w:widowControl/>
              <w:suppressLineNumbers w:val="0"/>
              <w:kinsoku/>
              <w:wordWrap/>
              <w:overflowPunct/>
              <w:topLinePunct w:val="0"/>
              <w:autoSpaceDE/>
              <w:autoSpaceDN/>
              <w:bidi w:val="0"/>
              <w:adjustRightInd/>
              <w:snapToGrid/>
              <w:spacing w:line="8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孔径（mm）</w:t>
            </w:r>
          </w:p>
        </w:tc>
      </w:tr>
      <w:tr w14:paraId="60A26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DF3F9D">
            <w:pPr>
              <w:jc w:val="center"/>
              <w:rPr>
                <w:rFonts w:hint="eastAsia" w:ascii="宋体" w:hAnsi="宋体" w:eastAsia="宋体" w:cs="宋体"/>
                <w:i w:val="0"/>
                <w:iCs w:val="0"/>
                <w:color w:val="auto"/>
                <w:sz w:val="21"/>
                <w:szCs w:val="21"/>
                <w:u w:val="none"/>
              </w:rPr>
            </w:pPr>
          </w:p>
        </w:tc>
        <w:tc>
          <w:tcPr>
            <w:tcW w:w="19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AD118E">
            <w:pPr>
              <w:jc w:val="center"/>
              <w:rPr>
                <w:rFonts w:hint="eastAsia" w:ascii="宋体" w:hAnsi="宋体" w:eastAsia="宋体" w:cs="宋体"/>
                <w:i w:val="0"/>
                <w:iCs w:val="0"/>
                <w:color w:val="auto"/>
                <w:sz w:val="21"/>
                <w:szCs w:val="21"/>
                <w:u w:val="none"/>
              </w:rPr>
            </w:pPr>
          </w:p>
        </w:tc>
        <w:tc>
          <w:tcPr>
            <w:tcW w:w="1335" w:type="dxa"/>
            <w:vMerge w:val="continue"/>
            <w:tcBorders>
              <w:top w:val="single" w:color="000000" w:sz="8" w:space="0"/>
              <w:left w:val="nil"/>
              <w:bottom w:val="single" w:color="000000" w:sz="8" w:space="0"/>
              <w:right w:val="single" w:color="000000" w:sz="8" w:space="0"/>
            </w:tcBorders>
            <w:shd w:val="clear" w:color="auto" w:fill="auto"/>
            <w:vAlign w:val="center"/>
          </w:tcPr>
          <w:p w14:paraId="080622AE">
            <w:pPr>
              <w:jc w:val="center"/>
              <w:rPr>
                <w:rFonts w:hint="eastAsia" w:ascii="宋体" w:hAnsi="宋体" w:eastAsia="宋体" w:cs="宋体"/>
                <w:i w:val="0"/>
                <w:iCs w:val="0"/>
                <w:color w:val="auto"/>
                <w:sz w:val="21"/>
                <w:szCs w:val="21"/>
                <w:u w:val="none"/>
              </w:rPr>
            </w:pPr>
          </w:p>
        </w:tc>
        <w:tc>
          <w:tcPr>
            <w:tcW w:w="1575" w:type="dxa"/>
            <w:vMerge w:val="continue"/>
            <w:tcBorders>
              <w:top w:val="single" w:color="000000" w:sz="8" w:space="0"/>
              <w:left w:val="nil"/>
              <w:bottom w:val="single" w:color="000000" w:sz="8" w:space="0"/>
              <w:right w:val="single" w:color="000000" w:sz="8" w:space="0"/>
            </w:tcBorders>
            <w:shd w:val="clear" w:color="auto" w:fill="auto"/>
            <w:vAlign w:val="top"/>
          </w:tcPr>
          <w:p w14:paraId="507BD0A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p>
        </w:tc>
      </w:tr>
      <w:tr w14:paraId="4C83C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5F4FB3A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PMF660CT-100A2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6F0873B3">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10A879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0~100A</w:t>
            </w:r>
          </w:p>
        </w:tc>
        <w:tc>
          <w:tcPr>
            <w:tcW w:w="1575" w:type="dxa"/>
            <w:tcBorders>
              <w:top w:val="nil"/>
              <w:left w:val="nil"/>
              <w:bottom w:val="single" w:color="000000" w:sz="8" w:space="0"/>
              <w:right w:val="single" w:color="000000" w:sz="8" w:space="0"/>
            </w:tcBorders>
            <w:shd w:val="clear" w:color="auto" w:fill="auto"/>
            <w:vAlign w:val="center"/>
          </w:tcPr>
          <w:p w14:paraId="72DBCAE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30</w:t>
            </w:r>
          </w:p>
        </w:tc>
      </w:tr>
      <w:tr w14:paraId="54DA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4ED8D57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PMF660CT-160A2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292B3B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23AAF2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0~160A</w:t>
            </w:r>
          </w:p>
        </w:tc>
        <w:tc>
          <w:tcPr>
            <w:tcW w:w="1575" w:type="dxa"/>
            <w:tcBorders>
              <w:top w:val="nil"/>
              <w:left w:val="nil"/>
              <w:bottom w:val="single" w:color="000000" w:sz="8" w:space="0"/>
              <w:right w:val="single" w:color="000000" w:sz="8" w:space="0"/>
            </w:tcBorders>
            <w:shd w:val="clear" w:color="auto" w:fill="auto"/>
            <w:vAlign w:val="top"/>
          </w:tcPr>
          <w:p w14:paraId="67B49D5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46</w:t>
            </w:r>
          </w:p>
        </w:tc>
      </w:tr>
      <w:tr w14:paraId="6EE69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500685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PMF660CT-250A2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558296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4540368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0~250A</w:t>
            </w:r>
          </w:p>
        </w:tc>
        <w:tc>
          <w:tcPr>
            <w:tcW w:w="1575" w:type="dxa"/>
            <w:tcBorders>
              <w:top w:val="nil"/>
              <w:left w:val="nil"/>
              <w:bottom w:val="single" w:color="000000" w:sz="8" w:space="0"/>
              <w:right w:val="single" w:color="000000" w:sz="8" w:space="0"/>
            </w:tcBorders>
            <w:shd w:val="clear" w:color="auto" w:fill="auto"/>
            <w:vAlign w:val="center"/>
          </w:tcPr>
          <w:p w14:paraId="71F1763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65</w:t>
            </w:r>
          </w:p>
        </w:tc>
      </w:tr>
      <w:tr w14:paraId="66C7F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0328816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PMF660CT-400A2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245C52E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04F6A1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0~400A</w:t>
            </w:r>
          </w:p>
        </w:tc>
        <w:tc>
          <w:tcPr>
            <w:tcW w:w="1575" w:type="dxa"/>
            <w:tcBorders>
              <w:top w:val="nil"/>
              <w:left w:val="nil"/>
              <w:bottom w:val="single" w:color="000000" w:sz="8" w:space="0"/>
              <w:right w:val="single" w:color="000000" w:sz="8" w:space="0"/>
            </w:tcBorders>
            <w:shd w:val="clear" w:color="auto" w:fill="auto"/>
            <w:vAlign w:val="top"/>
          </w:tcPr>
          <w:p w14:paraId="43AEB21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80</w:t>
            </w:r>
          </w:p>
        </w:tc>
      </w:tr>
      <w:tr w14:paraId="34173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175D6C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PMF660CT-630A2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38D5E35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2F0A1CE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0~630A</w:t>
            </w:r>
          </w:p>
        </w:tc>
        <w:tc>
          <w:tcPr>
            <w:tcW w:w="1575" w:type="dxa"/>
            <w:tcBorders>
              <w:top w:val="nil"/>
              <w:left w:val="nil"/>
              <w:bottom w:val="single" w:color="000000" w:sz="8" w:space="0"/>
              <w:right w:val="single" w:color="000000" w:sz="8" w:space="0"/>
            </w:tcBorders>
            <w:shd w:val="clear" w:color="auto" w:fill="auto"/>
            <w:vAlign w:val="center"/>
          </w:tcPr>
          <w:p w14:paraId="2A18550A">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r>
      <w:tr w14:paraId="44031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7200565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PMF660CT-800A2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4A30FA7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1F3916B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0~800A</w:t>
            </w:r>
          </w:p>
        </w:tc>
        <w:tc>
          <w:tcPr>
            <w:tcW w:w="1575" w:type="dxa"/>
            <w:tcBorders>
              <w:top w:val="nil"/>
              <w:left w:val="nil"/>
              <w:bottom w:val="single" w:color="000000" w:sz="8" w:space="0"/>
              <w:right w:val="single" w:color="000000" w:sz="8" w:space="0"/>
            </w:tcBorders>
            <w:shd w:val="clear" w:color="auto" w:fill="auto"/>
            <w:vAlign w:val="center"/>
          </w:tcPr>
          <w:p w14:paraId="37ECC03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120</w:t>
            </w:r>
          </w:p>
        </w:tc>
      </w:tr>
      <w:tr w14:paraId="3453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04640F8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PMF660CT-1000A2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5944C63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7007CF0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0~1000A</w:t>
            </w:r>
          </w:p>
        </w:tc>
        <w:tc>
          <w:tcPr>
            <w:tcW w:w="1575" w:type="dxa"/>
            <w:tcBorders>
              <w:top w:val="nil"/>
              <w:left w:val="nil"/>
              <w:bottom w:val="single" w:color="000000" w:sz="8" w:space="0"/>
              <w:right w:val="single" w:color="000000" w:sz="8" w:space="0"/>
            </w:tcBorders>
            <w:shd w:val="clear" w:color="auto" w:fill="auto"/>
            <w:vAlign w:val="center"/>
          </w:tcPr>
          <w:p w14:paraId="008F72DD">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150</w:t>
            </w:r>
          </w:p>
        </w:tc>
      </w:tr>
      <w:tr w14:paraId="6CCF5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6492042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PMF660CT-1500A2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4EFDF2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6344AE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0~1500A</w:t>
            </w:r>
          </w:p>
        </w:tc>
        <w:tc>
          <w:tcPr>
            <w:tcW w:w="1575" w:type="dxa"/>
            <w:tcBorders>
              <w:top w:val="nil"/>
              <w:left w:val="nil"/>
              <w:bottom w:val="single" w:color="000000" w:sz="8" w:space="0"/>
              <w:right w:val="single" w:color="000000" w:sz="8" w:space="0"/>
            </w:tcBorders>
            <w:shd w:val="clear" w:color="auto" w:fill="auto"/>
            <w:vAlign w:val="center"/>
          </w:tcPr>
          <w:p w14:paraId="01652D5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200</w:t>
            </w:r>
          </w:p>
        </w:tc>
      </w:tr>
    </w:tbl>
    <w:p w14:paraId="0991A950">
      <w:pPr>
        <w:widowControl w:val="0"/>
        <w:numPr>
          <w:ilvl w:val="0"/>
          <w:numId w:val="0"/>
        </w:numPr>
        <w:jc w:val="center"/>
        <w:rPr>
          <w:rFonts w:hint="default"/>
          <w:color w:val="auto"/>
          <w:lang w:val="en-US" w:eastAsia="zh-CN"/>
        </w:rPr>
      </w:pPr>
    </w:p>
    <w:p w14:paraId="723D7C30">
      <w:pPr>
        <w:widowControl w:val="0"/>
        <w:numPr>
          <w:ilvl w:val="0"/>
          <w:numId w:val="1"/>
        </w:numPr>
        <w:ind w:left="0" w:leftChars="0" w:firstLine="0" w:firstLineChars="0"/>
        <w:jc w:val="left"/>
        <w:rPr>
          <w:rFonts w:hint="default"/>
          <w:color w:val="auto"/>
          <w:lang w:val="en-US" w:eastAsia="zh-CN"/>
        </w:rPr>
      </w:pPr>
      <w:r>
        <w:rPr>
          <w:rFonts w:hint="eastAsia"/>
          <w:color w:val="auto"/>
          <w:lang w:val="en-US" w:eastAsia="zh-CN"/>
        </w:rPr>
        <w:t>方形</w:t>
      </w:r>
    </w:p>
    <w:tbl>
      <w:tblPr>
        <w:tblStyle w:val="38"/>
        <w:tblW w:w="69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70"/>
        <w:gridCol w:w="1920"/>
        <w:gridCol w:w="1335"/>
        <w:gridCol w:w="1575"/>
      </w:tblGrid>
      <w:tr w14:paraId="3E922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3DFDBC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型号规格</w:t>
            </w:r>
          </w:p>
        </w:tc>
        <w:tc>
          <w:tcPr>
            <w:tcW w:w="19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2C5940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规格</w:t>
            </w:r>
          </w:p>
        </w:tc>
        <w:tc>
          <w:tcPr>
            <w:tcW w:w="1335" w:type="dxa"/>
            <w:vMerge w:val="restart"/>
            <w:tcBorders>
              <w:top w:val="single" w:color="000000" w:sz="8" w:space="0"/>
              <w:left w:val="nil"/>
              <w:bottom w:val="single" w:color="000000" w:sz="8" w:space="0"/>
              <w:right w:val="single" w:color="000000" w:sz="8" w:space="0"/>
            </w:tcBorders>
            <w:shd w:val="clear" w:color="auto" w:fill="auto"/>
            <w:vAlign w:val="center"/>
          </w:tcPr>
          <w:p w14:paraId="07F459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适用范围</w:t>
            </w:r>
            <w:r>
              <w:rPr>
                <w:rFonts w:ascii="Calibri" w:hAnsi="Calibri" w:eastAsia="宋体" w:cs="Calibri"/>
                <w:i w:val="0"/>
                <w:iCs w:val="0"/>
                <w:color w:val="auto"/>
                <w:kern w:val="0"/>
                <w:sz w:val="21"/>
                <w:szCs w:val="21"/>
                <w:u w:val="none"/>
                <w:lang w:val="en-US" w:eastAsia="zh-CN" w:bidi="ar"/>
              </w:rPr>
              <w:t>(A)</w:t>
            </w:r>
          </w:p>
        </w:tc>
        <w:tc>
          <w:tcPr>
            <w:tcW w:w="1575" w:type="dxa"/>
            <w:vMerge w:val="restart"/>
            <w:tcBorders>
              <w:top w:val="single" w:color="000000" w:sz="8" w:space="0"/>
              <w:left w:val="nil"/>
              <w:bottom w:val="single" w:color="000000" w:sz="8" w:space="0"/>
              <w:right w:val="single" w:color="000000" w:sz="8" w:space="0"/>
            </w:tcBorders>
            <w:shd w:val="clear" w:color="auto" w:fill="auto"/>
            <w:vAlign w:val="top"/>
          </w:tcPr>
          <w:p w14:paraId="0918BDBE">
            <w:pPr>
              <w:keepNext w:val="0"/>
              <w:keepLines w:val="0"/>
              <w:pageBreakBefore w:val="0"/>
              <w:widowControl/>
              <w:suppressLineNumbers w:val="0"/>
              <w:kinsoku/>
              <w:wordWrap/>
              <w:overflowPunct/>
              <w:topLinePunct w:val="0"/>
              <w:autoSpaceDE/>
              <w:autoSpaceDN/>
              <w:bidi w:val="0"/>
              <w:adjustRightInd/>
              <w:snapToGrid/>
              <w:spacing w:line="8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孔径（mm）</w:t>
            </w:r>
          </w:p>
        </w:tc>
      </w:tr>
      <w:tr w14:paraId="17A7E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7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1F10F7">
            <w:pPr>
              <w:jc w:val="center"/>
              <w:rPr>
                <w:rFonts w:hint="eastAsia" w:ascii="宋体" w:hAnsi="宋体" w:eastAsia="宋体" w:cs="宋体"/>
                <w:i w:val="0"/>
                <w:iCs w:val="0"/>
                <w:color w:val="auto"/>
                <w:sz w:val="21"/>
                <w:szCs w:val="21"/>
                <w:u w:val="none"/>
              </w:rPr>
            </w:pPr>
          </w:p>
        </w:tc>
        <w:tc>
          <w:tcPr>
            <w:tcW w:w="19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7D5C0F">
            <w:pPr>
              <w:jc w:val="center"/>
              <w:rPr>
                <w:rFonts w:hint="eastAsia" w:ascii="宋体" w:hAnsi="宋体" w:eastAsia="宋体" w:cs="宋体"/>
                <w:i w:val="0"/>
                <w:iCs w:val="0"/>
                <w:color w:val="auto"/>
                <w:sz w:val="21"/>
                <w:szCs w:val="21"/>
                <w:u w:val="none"/>
              </w:rPr>
            </w:pPr>
          </w:p>
        </w:tc>
        <w:tc>
          <w:tcPr>
            <w:tcW w:w="1335" w:type="dxa"/>
            <w:vMerge w:val="continue"/>
            <w:tcBorders>
              <w:top w:val="single" w:color="000000" w:sz="8" w:space="0"/>
              <w:left w:val="nil"/>
              <w:bottom w:val="single" w:color="000000" w:sz="8" w:space="0"/>
              <w:right w:val="single" w:color="000000" w:sz="8" w:space="0"/>
            </w:tcBorders>
            <w:shd w:val="clear" w:color="auto" w:fill="auto"/>
            <w:vAlign w:val="center"/>
          </w:tcPr>
          <w:p w14:paraId="6167E1AB">
            <w:pPr>
              <w:jc w:val="center"/>
              <w:rPr>
                <w:rFonts w:hint="eastAsia" w:ascii="宋体" w:hAnsi="宋体" w:eastAsia="宋体" w:cs="宋体"/>
                <w:i w:val="0"/>
                <w:iCs w:val="0"/>
                <w:color w:val="auto"/>
                <w:sz w:val="21"/>
                <w:szCs w:val="21"/>
                <w:u w:val="none"/>
              </w:rPr>
            </w:pPr>
          </w:p>
        </w:tc>
        <w:tc>
          <w:tcPr>
            <w:tcW w:w="1575" w:type="dxa"/>
            <w:vMerge w:val="continue"/>
            <w:tcBorders>
              <w:top w:val="single" w:color="000000" w:sz="8" w:space="0"/>
              <w:left w:val="nil"/>
              <w:bottom w:val="single" w:color="000000" w:sz="8" w:space="0"/>
              <w:right w:val="single" w:color="000000" w:sz="8" w:space="0"/>
            </w:tcBorders>
            <w:shd w:val="clear" w:color="auto" w:fill="auto"/>
            <w:vAlign w:val="top"/>
          </w:tcPr>
          <w:p w14:paraId="33028C92">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p>
        </w:tc>
      </w:tr>
      <w:tr w14:paraId="2036F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4280DB8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PMF660CT-100FA2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002C675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640562D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0~100A</w:t>
            </w:r>
          </w:p>
        </w:tc>
        <w:tc>
          <w:tcPr>
            <w:tcW w:w="1575" w:type="dxa"/>
            <w:tcBorders>
              <w:top w:val="nil"/>
              <w:left w:val="nil"/>
              <w:bottom w:val="single" w:color="000000" w:sz="8" w:space="0"/>
              <w:right w:val="single" w:color="000000" w:sz="8" w:space="0"/>
            </w:tcBorders>
            <w:shd w:val="clear" w:color="auto" w:fill="auto"/>
            <w:vAlign w:val="center"/>
          </w:tcPr>
          <w:p w14:paraId="08A4241D">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112*25</w:t>
            </w:r>
          </w:p>
        </w:tc>
      </w:tr>
      <w:tr w14:paraId="0BA1A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1F201D5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PMF660CT-250FA2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765DB3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0BCD1DE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0~250A</w:t>
            </w:r>
          </w:p>
        </w:tc>
        <w:tc>
          <w:tcPr>
            <w:tcW w:w="1575" w:type="dxa"/>
            <w:tcBorders>
              <w:top w:val="nil"/>
              <w:left w:val="nil"/>
              <w:bottom w:val="single" w:color="000000" w:sz="8" w:space="0"/>
              <w:right w:val="single" w:color="000000" w:sz="8" w:space="0"/>
            </w:tcBorders>
            <w:shd w:val="clear" w:color="auto" w:fill="auto"/>
            <w:vAlign w:val="top"/>
          </w:tcPr>
          <w:p w14:paraId="75D66E80">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142*35</w:t>
            </w:r>
          </w:p>
        </w:tc>
      </w:tr>
      <w:tr w14:paraId="185DA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579007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PMF660CT-400FA2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1B2062B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76190C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0~400A</w:t>
            </w:r>
          </w:p>
        </w:tc>
        <w:tc>
          <w:tcPr>
            <w:tcW w:w="1575" w:type="dxa"/>
            <w:tcBorders>
              <w:top w:val="nil"/>
              <w:left w:val="nil"/>
              <w:bottom w:val="single" w:color="000000" w:sz="8" w:space="0"/>
              <w:right w:val="single" w:color="000000" w:sz="8" w:space="0"/>
            </w:tcBorders>
            <w:shd w:val="clear" w:color="auto" w:fill="auto"/>
            <w:vAlign w:val="center"/>
          </w:tcPr>
          <w:p w14:paraId="39B6454E">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192*35</w:t>
            </w:r>
          </w:p>
        </w:tc>
      </w:tr>
      <w:tr w14:paraId="49004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5055211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PMF660CT-630FA2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399725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67DB971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0~630A</w:t>
            </w:r>
          </w:p>
        </w:tc>
        <w:tc>
          <w:tcPr>
            <w:tcW w:w="1575" w:type="dxa"/>
            <w:tcBorders>
              <w:top w:val="nil"/>
              <w:left w:val="nil"/>
              <w:bottom w:val="single" w:color="000000" w:sz="8" w:space="0"/>
              <w:right w:val="single" w:color="000000" w:sz="8" w:space="0"/>
            </w:tcBorders>
            <w:shd w:val="clear" w:color="auto" w:fill="auto"/>
            <w:vAlign w:val="top"/>
          </w:tcPr>
          <w:p w14:paraId="5E45FB7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232*45</w:t>
            </w:r>
          </w:p>
        </w:tc>
      </w:tr>
      <w:tr w14:paraId="49B98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70" w:type="dxa"/>
            <w:tcBorders>
              <w:top w:val="nil"/>
              <w:left w:val="single" w:color="000000" w:sz="8" w:space="0"/>
              <w:bottom w:val="single" w:color="000000" w:sz="8" w:space="0"/>
              <w:right w:val="single" w:color="000000" w:sz="8" w:space="0"/>
            </w:tcBorders>
            <w:shd w:val="clear" w:color="auto" w:fill="auto"/>
            <w:vAlign w:val="center"/>
          </w:tcPr>
          <w:p w14:paraId="5DC43D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PMF660CT-1000FA2</w:t>
            </w:r>
          </w:p>
        </w:tc>
        <w:tc>
          <w:tcPr>
            <w:tcW w:w="1920" w:type="dxa"/>
            <w:tcBorders>
              <w:top w:val="nil"/>
              <w:left w:val="single" w:color="000000" w:sz="8" w:space="0"/>
              <w:bottom w:val="single" w:color="000000" w:sz="8" w:space="0"/>
              <w:right w:val="single" w:color="000000" w:sz="8" w:space="0"/>
            </w:tcBorders>
            <w:shd w:val="clear" w:color="auto" w:fill="auto"/>
            <w:vAlign w:val="center"/>
          </w:tcPr>
          <w:p w14:paraId="184BDF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1000:0.5mA</w:t>
            </w:r>
          </w:p>
        </w:tc>
        <w:tc>
          <w:tcPr>
            <w:tcW w:w="1335" w:type="dxa"/>
            <w:tcBorders>
              <w:top w:val="nil"/>
              <w:left w:val="nil"/>
              <w:bottom w:val="single" w:color="000000" w:sz="8" w:space="0"/>
              <w:right w:val="single" w:color="000000" w:sz="8" w:space="0"/>
            </w:tcBorders>
            <w:shd w:val="clear" w:color="auto" w:fill="auto"/>
            <w:vAlign w:val="center"/>
          </w:tcPr>
          <w:p w14:paraId="2A3ED8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0~1000A</w:t>
            </w:r>
          </w:p>
        </w:tc>
        <w:tc>
          <w:tcPr>
            <w:tcW w:w="1575" w:type="dxa"/>
            <w:tcBorders>
              <w:top w:val="nil"/>
              <w:left w:val="nil"/>
              <w:bottom w:val="single" w:color="000000" w:sz="8" w:space="0"/>
              <w:right w:val="single" w:color="000000" w:sz="8" w:space="0"/>
            </w:tcBorders>
            <w:shd w:val="clear" w:color="auto" w:fill="auto"/>
            <w:vAlign w:val="center"/>
          </w:tcPr>
          <w:p w14:paraId="292BA3F8">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300*60</w:t>
            </w:r>
          </w:p>
        </w:tc>
      </w:tr>
    </w:tbl>
    <w:p w14:paraId="55F9F2E9">
      <w:pPr>
        <w:widowControl w:val="0"/>
        <w:numPr>
          <w:ilvl w:val="0"/>
          <w:numId w:val="0"/>
        </w:numPr>
        <w:jc w:val="both"/>
        <w:rPr>
          <w:rFonts w:hint="eastAsia"/>
          <w:lang w:val="en-US" w:eastAsia="zh-CN"/>
        </w:rPr>
      </w:pPr>
    </w:p>
    <w:p w14:paraId="6FB80FC4">
      <w:pPr>
        <w:widowControl w:val="0"/>
        <w:numPr>
          <w:ilvl w:val="0"/>
          <w:numId w:val="0"/>
        </w:numPr>
        <w:jc w:val="both"/>
        <w:rPr>
          <w:rFonts w:hint="eastAsia"/>
          <w:lang w:val="en-US" w:eastAsia="zh-CN"/>
        </w:rPr>
      </w:pPr>
      <w:r>
        <w:rPr>
          <w:rFonts w:hint="eastAsia"/>
          <w:lang w:val="en-US" w:eastAsia="zh-CN"/>
        </w:rPr>
        <w:t>其他技术参数：</w:t>
      </w:r>
    </w:p>
    <w:p w14:paraId="742B59D3">
      <w:pPr>
        <w:widowControl w:val="0"/>
        <w:numPr>
          <w:ilvl w:val="0"/>
          <w:numId w:val="2"/>
        </w:numPr>
        <w:ind w:left="425" w:leftChars="0" w:hanging="425" w:firstLineChars="0"/>
        <w:jc w:val="both"/>
        <w:rPr>
          <w:rFonts w:hint="default"/>
          <w:lang w:val="en-US" w:eastAsia="zh-CN"/>
        </w:rPr>
      </w:pPr>
      <w:r>
        <w:rPr>
          <w:rFonts w:hint="default"/>
          <w:lang w:val="en-US" w:eastAsia="zh-CN"/>
        </w:rPr>
        <w:t>符合 GB 14287.2-2014《电气火灾监控系统 第 2 部分:剩余电流式电气火灾监控探测器》附录A的要求</w:t>
      </w:r>
      <w:r>
        <w:rPr>
          <w:rFonts w:hint="eastAsia"/>
          <w:lang w:val="en-US" w:eastAsia="zh-CN"/>
        </w:rPr>
        <w:t>；</w:t>
      </w:r>
    </w:p>
    <w:p w14:paraId="0C0FBA74">
      <w:pPr>
        <w:widowControl w:val="0"/>
        <w:numPr>
          <w:ilvl w:val="0"/>
          <w:numId w:val="2"/>
        </w:numPr>
        <w:ind w:left="425" w:leftChars="0" w:hanging="425" w:firstLineChars="0"/>
        <w:jc w:val="both"/>
        <w:rPr>
          <w:rFonts w:hint="default"/>
          <w:lang w:val="en-US" w:eastAsia="zh-CN"/>
        </w:rPr>
      </w:pPr>
      <w:r>
        <w:rPr>
          <w:rFonts w:hint="default"/>
          <w:lang w:val="en-US" w:eastAsia="zh-CN"/>
        </w:rPr>
        <w:t>过线孔尺寸(mm):</w:t>
      </w:r>
      <w:r>
        <w:rPr>
          <w:rFonts w:hint="eastAsia"/>
          <w:lang w:val="en-US" w:eastAsia="zh-CN"/>
        </w:rPr>
        <w:t>见上表；</w:t>
      </w:r>
    </w:p>
    <w:p w14:paraId="5A2DA7BF">
      <w:pPr>
        <w:widowControl w:val="0"/>
        <w:numPr>
          <w:ilvl w:val="0"/>
          <w:numId w:val="2"/>
        </w:numPr>
        <w:ind w:left="425" w:leftChars="0" w:hanging="425" w:firstLineChars="0"/>
        <w:jc w:val="both"/>
        <w:rPr>
          <w:rFonts w:hint="default"/>
          <w:lang w:val="en-US" w:eastAsia="zh-CN"/>
        </w:rPr>
      </w:pPr>
      <w:r>
        <w:rPr>
          <w:rFonts w:hint="default"/>
          <w:lang w:val="en-US" w:eastAsia="zh-CN"/>
        </w:rPr>
        <w:t>外壳材质:塑料</w:t>
      </w:r>
      <w:r>
        <w:rPr>
          <w:rFonts w:hint="default"/>
          <w:lang w:eastAsia="zh-CN"/>
          <w:woUserID w:val="1"/>
        </w:rPr>
        <w:t>，阻燃</w:t>
      </w:r>
      <w:r>
        <w:rPr>
          <w:rFonts w:hint="eastAsia"/>
          <w:lang w:val="en-US" w:eastAsia="zh-CN"/>
        </w:rPr>
        <w:t>；</w:t>
      </w:r>
    </w:p>
    <w:p w14:paraId="5AE0DDC9">
      <w:pPr>
        <w:widowControl w:val="0"/>
        <w:numPr>
          <w:ilvl w:val="0"/>
          <w:numId w:val="2"/>
        </w:numPr>
        <w:ind w:left="425" w:leftChars="0" w:hanging="425" w:firstLineChars="0"/>
        <w:jc w:val="both"/>
        <w:rPr>
          <w:rFonts w:hint="default"/>
          <w:lang w:val="en-US" w:eastAsia="zh-CN"/>
        </w:rPr>
      </w:pPr>
      <w:r>
        <w:rPr>
          <w:rFonts w:hint="default"/>
          <w:lang w:val="en-US" w:eastAsia="zh-CN"/>
        </w:rPr>
        <w:t>标称一次绕组的额定电流(mA):1000</w:t>
      </w:r>
      <w:r>
        <w:rPr>
          <w:rFonts w:hint="eastAsia"/>
          <w:lang w:val="en-US" w:eastAsia="zh-CN"/>
        </w:rPr>
        <w:t>；</w:t>
      </w:r>
    </w:p>
    <w:p w14:paraId="765CE1EC">
      <w:pPr>
        <w:widowControl w:val="0"/>
        <w:numPr>
          <w:ilvl w:val="0"/>
          <w:numId w:val="2"/>
        </w:numPr>
        <w:ind w:left="425" w:leftChars="0" w:hanging="425" w:firstLineChars="0"/>
        <w:jc w:val="both"/>
        <w:rPr>
          <w:rFonts w:hint="default"/>
          <w:lang w:val="en-US" w:eastAsia="zh-CN"/>
        </w:rPr>
      </w:pPr>
      <w:r>
        <w:rPr>
          <w:rFonts w:hint="default"/>
          <w:lang w:val="en-US" w:eastAsia="zh-CN"/>
        </w:rPr>
        <w:t>标称二次绕组的额定电流(mA):0.5</w:t>
      </w:r>
      <w:r>
        <w:rPr>
          <w:rFonts w:hint="eastAsia"/>
          <w:lang w:val="en-US" w:eastAsia="zh-CN"/>
        </w:rPr>
        <w:t>；</w:t>
      </w:r>
    </w:p>
    <w:p w14:paraId="02AE1DC9">
      <w:pPr>
        <w:widowControl w:val="0"/>
        <w:numPr>
          <w:ilvl w:val="0"/>
          <w:numId w:val="2"/>
        </w:numPr>
        <w:ind w:left="425" w:leftChars="0" w:hanging="425" w:firstLineChars="0"/>
        <w:jc w:val="both"/>
        <w:rPr>
          <w:rFonts w:hint="default"/>
          <w:lang w:val="en-US" w:eastAsia="zh-CN"/>
        </w:rPr>
      </w:pPr>
      <w:r>
        <w:rPr>
          <w:rFonts w:hint="default"/>
          <w:lang w:val="en-US" w:eastAsia="zh-CN"/>
        </w:rPr>
        <w:t>标称额定连续热电流(mA):2000</w:t>
      </w:r>
      <w:r>
        <w:rPr>
          <w:rFonts w:hint="eastAsia"/>
          <w:lang w:val="en-US" w:eastAsia="zh-CN"/>
        </w:rPr>
        <w:t>；</w:t>
      </w:r>
    </w:p>
    <w:p w14:paraId="5ED6CBEF">
      <w:pPr>
        <w:widowControl w:val="0"/>
        <w:numPr>
          <w:ilvl w:val="0"/>
          <w:numId w:val="2"/>
        </w:numPr>
        <w:ind w:left="425" w:leftChars="0" w:hanging="425" w:firstLineChars="0"/>
        <w:jc w:val="both"/>
        <w:rPr>
          <w:rFonts w:hint="default"/>
          <w:lang w:val="en-US" w:eastAsia="zh-CN"/>
        </w:rPr>
      </w:pPr>
      <w:r>
        <w:rPr>
          <w:rFonts w:hint="default"/>
          <w:lang w:val="en-US" w:eastAsia="zh-CN"/>
        </w:rPr>
        <w:t>标称工作环境上限温度(℃):70</w:t>
      </w:r>
      <w:r>
        <w:rPr>
          <w:rFonts w:hint="eastAsia"/>
          <w:lang w:val="en-US" w:eastAsia="zh-CN"/>
        </w:rPr>
        <w:t>；</w:t>
      </w:r>
    </w:p>
    <w:p w14:paraId="01845B49">
      <w:pPr>
        <w:widowControl w:val="0"/>
        <w:numPr>
          <w:ilvl w:val="0"/>
          <w:numId w:val="2"/>
        </w:numPr>
        <w:ind w:left="425" w:leftChars="0" w:hanging="425" w:firstLineChars="0"/>
        <w:jc w:val="both"/>
        <w:rPr>
          <w:rFonts w:hint="default"/>
          <w:lang w:val="en-US" w:eastAsia="zh-CN"/>
        </w:rPr>
      </w:pPr>
      <w:r>
        <w:rPr>
          <w:rFonts w:hint="default"/>
          <w:lang w:val="en-US" w:eastAsia="zh-CN"/>
        </w:rPr>
        <w:t>标称工作环境下限温度(℃):-25</w:t>
      </w:r>
      <w:r>
        <w:rPr>
          <w:rFonts w:hint="eastAsia"/>
          <w:lang w:val="en-US" w:eastAsia="zh-CN"/>
        </w:rPr>
        <w:t>；</w:t>
      </w:r>
    </w:p>
    <w:p w14:paraId="18DC9D83">
      <w:pPr>
        <w:widowControl w:val="0"/>
        <w:numPr>
          <w:ilvl w:val="0"/>
          <w:numId w:val="2"/>
        </w:numPr>
        <w:ind w:left="425" w:leftChars="0" w:hanging="425" w:firstLineChars="0"/>
        <w:jc w:val="both"/>
        <w:rPr>
          <w:rFonts w:hint="default"/>
          <w:lang w:val="en-US" w:eastAsia="zh-CN"/>
        </w:rPr>
      </w:pPr>
      <w:r>
        <w:rPr>
          <w:rFonts w:hint="default"/>
          <w:lang w:val="en-US" w:eastAsia="zh-CN"/>
        </w:rPr>
        <w:t>绕组的工频耐压试验</w:t>
      </w:r>
      <w:r>
        <w:rPr>
          <w:rFonts w:hint="eastAsia"/>
          <w:lang w:val="en-US" w:eastAsia="zh-CN"/>
        </w:rPr>
        <w:t>未击穿；</w:t>
      </w:r>
    </w:p>
    <w:p w14:paraId="1CADD831">
      <w:pPr>
        <w:widowControl w:val="0"/>
        <w:numPr>
          <w:ilvl w:val="0"/>
          <w:numId w:val="2"/>
        </w:numPr>
        <w:ind w:left="425" w:leftChars="0" w:hanging="425" w:firstLineChars="0"/>
        <w:jc w:val="both"/>
        <w:rPr>
          <w:rFonts w:hint="default"/>
          <w:lang w:val="en-US" w:eastAsia="zh-CN"/>
        </w:rPr>
      </w:pPr>
      <w:r>
        <w:rPr>
          <w:rFonts w:hint="default"/>
          <w:lang w:val="en-US" w:eastAsia="zh-CN"/>
        </w:rPr>
        <w:t>绕组的绝缘电阻试验</w:t>
      </w:r>
      <w:r>
        <w:rPr>
          <w:rFonts w:hint="eastAsia"/>
          <w:lang w:val="en-US" w:eastAsia="zh-CN"/>
        </w:rPr>
        <w:t>：</w:t>
      </w:r>
      <w:r>
        <w:rPr>
          <w:rFonts w:hint="default"/>
          <w:lang w:val="en-US" w:eastAsia="zh-CN"/>
        </w:rPr>
        <w:t xml:space="preserve">试样二次绕组与壳体之间测得绝缘电阻值&gt;1000MQ </w:t>
      </w:r>
      <w:r>
        <w:rPr>
          <w:rFonts w:hint="eastAsia"/>
          <w:lang w:val="en-US" w:eastAsia="zh-CN"/>
        </w:rPr>
        <w:t>；</w:t>
      </w:r>
    </w:p>
    <w:p w14:paraId="56A936A8">
      <w:pPr>
        <w:widowControl w:val="0"/>
        <w:numPr>
          <w:ilvl w:val="0"/>
          <w:numId w:val="2"/>
        </w:numPr>
        <w:ind w:left="425" w:leftChars="0" w:hanging="425" w:firstLineChars="0"/>
        <w:jc w:val="both"/>
        <w:rPr>
          <w:rFonts w:hint="default"/>
          <w:lang w:val="en-US" w:eastAsia="zh-CN"/>
        </w:rPr>
      </w:pPr>
      <w:r>
        <w:rPr>
          <w:rFonts w:hint="eastAsia"/>
          <w:lang w:val="en-US" w:eastAsia="zh-CN"/>
        </w:rPr>
        <w:t>精度等级：0.5；</w:t>
      </w:r>
    </w:p>
    <w:p w14:paraId="4679891D">
      <w:pPr>
        <w:widowControl w:val="0"/>
        <w:numPr>
          <w:ilvl w:val="0"/>
          <w:numId w:val="2"/>
        </w:numPr>
        <w:ind w:left="425" w:leftChars="0" w:hanging="425" w:firstLineChars="0"/>
        <w:jc w:val="both"/>
      </w:pPr>
      <w:r>
        <w:rPr>
          <w:rFonts w:hint="eastAsia"/>
          <w:lang w:val="en-US" w:eastAsia="zh-CN"/>
        </w:rPr>
        <w:t>互感器内阻：95-105欧姆。</w:t>
      </w:r>
    </w:p>
    <w:p w14:paraId="6AFA45B8">
      <w:pPr>
        <w:pStyle w:val="60"/>
      </w:pPr>
      <w:r>
        <w:t>5.</w:t>
      </w:r>
      <w:r>
        <w:rPr>
          <w:rFonts w:hint="eastAsia"/>
          <w:lang w:val="en-US" w:eastAsia="zh-CN"/>
        </w:rPr>
        <w:t>2</w:t>
      </w:r>
      <w:r>
        <w:rPr>
          <w:rFonts w:hint="eastAsia"/>
        </w:rPr>
        <w:t>　</w:t>
      </w:r>
      <w:r>
        <w:rPr>
          <w:rFonts w:hint="eastAsia"/>
          <w:lang w:val="en-US" w:eastAsia="zh-CN"/>
        </w:rPr>
        <w:t>性能要求</w:t>
      </w:r>
    </w:p>
    <w:p w14:paraId="75B1BC1E">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精度等级：0.5级（计量用途）。</w:t>
      </w:r>
    </w:p>
    <w:p w14:paraId="43EE32D0">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额定连续热电流：≥2000mA。</w:t>
      </w:r>
    </w:p>
    <w:p w14:paraId="21FB6ED4">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绝缘电阻：二次绕组与壳体间＞1000MΩ（依据GB 50171-2012）。</w:t>
      </w:r>
    </w:p>
    <w:p w14:paraId="06A2B4B7">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工频耐压：未击穿（试验电压按GB 1208-2016执行）。</w:t>
      </w:r>
    </w:p>
    <w:p w14:paraId="428BDD8C">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firstLine="420" w:firstLineChars="200"/>
        <w:jc w:val="left"/>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塑料壳体必须</w:t>
      </w:r>
      <w:r>
        <w:rPr>
          <w:rFonts w:hint="eastAsia" w:ascii="Times New Roman" w:hAnsi="Times New Roman" w:cs="Times New Roman"/>
          <w:kern w:val="2"/>
          <w:sz w:val="21"/>
          <w:szCs w:val="21"/>
          <w:lang w:val="en-US" w:eastAsia="zh-CN" w:bidi="ar-SA"/>
        </w:rPr>
        <w:t>是</w:t>
      </w:r>
      <w:r>
        <w:rPr>
          <w:rFonts w:hint="default" w:ascii="Times New Roman" w:hAnsi="Times New Roman" w:eastAsia="宋体" w:cs="Times New Roman"/>
          <w:kern w:val="2"/>
          <w:sz w:val="21"/>
          <w:szCs w:val="21"/>
          <w:lang w:val="en-US" w:eastAsia="zh-CN" w:bidi="ar-SA"/>
        </w:rPr>
        <w:t>阻燃</w:t>
      </w:r>
      <w:r>
        <w:rPr>
          <w:rFonts w:hint="eastAsia" w:ascii="Times New Roman" w:hAnsi="Times New Roman" w:cs="Times New Roman"/>
          <w:kern w:val="2"/>
          <w:sz w:val="21"/>
          <w:szCs w:val="21"/>
          <w:lang w:val="en-US" w:eastAsia="zh-CN" w:bidi="ar-SA"/>
        </w:rPr>
        <w:t>材料。</w:t>
      </w:r>
    </w:p>
    <w:p w14:paraId="3930C7FC">
      <w:pPr>
        <w:pStyle w:val="60"/>
      </w:pPr>
      <w:r>
        <w:t>5.</w:t>
      </w:r>
      <w:r>
        <w:rPr>
          <w:rFonts w:hint="eastAsia"/>
          <w:lang w:val="en-US" w:eastAsia="zh-CN"/>
        </w:rPr>
        <w:t>3</w:t>
      </w:r>
      <w:r>
        <w:rPr>
          <w:rFonts w:hint="eastAsia"/>
        </w:rPr>
        <w:t>　标志、包装、运输</w:t>
      </w:r>
      <w:bookmarkEnd w:id="8"/>
      <w:bookmarkEnd w:id="9"/>
      <w:r>
        <w:rPr>
          <w:rFonts w:hint="eastAsia"/>
        </w:rPr>
        <w:t>、贮存</w:t>
      </w:r>
      <w:bookmarkEnd w:id="10"/>
      <w:bookmarkEnd w:id="11"/>
      <w:bookmarkEnd w:id="12"/>
      <w:r>
        <w:rPr>
          <w:rFonts w:hint="eastAsia"/>
        </w:rPr>
        <w:t>及铭牌</w:t>
      </w:r>
    </w:p>
    <w:p w14:paraId="45193013">
      <w:pPr>
        <w:pStyle w:val="60"/>
      </w:pPr>
      <w:bookmarkStart w:id="13" w:name="_Toc363381651"/>
      <w:bookmarkStart w:id="14" w:name="_Toc363243290"/>
      <w:r>
        <w:t>5.</w:t>
      </w:r>
      <w:r>
        <w:rPr>
          <w:rFonts w:hint="eastAsia"/>
          <w:lang w:val="en-US" w:eastAsia="zh-CN"/>
        </w:rPr>
        <w:t>3</w:t>
      </w:r>
      <w:r>
        <w:t>.1</w:t>
      </w:r>
      <w:r>
        <w:rPr>
          <w:rFonts w:hint="eastAsia"/>
        </w:rPr>
        <w:t>标志</w:t>
      </w:r>
      <w:bookmarkEnd w:id="13"/>
      <w:bookmarkEnd w:id="14"/>
    </w:p>
    <w:p w14:paraId="2AC687FB">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42A9D365">
      <w:pPr>
        <w:pStyle w:val="60"/>
      </w:pPr>
      <w:bookmarkStart w:id="15" w:name="_Toc363381652"/>
      <w:bookmarkStart w:id="16" w:name="_Toc358552339"/>
      <w:bookmarkStart w:id="17" w:name="_Toc363243291"/>
      <w:bookmarkStart w:id="18" w:name="_Toc358552377"/>
      <w:r>
        <w:t>5.</w:t>
      </w:r>
      <w:r>
        <w:rPr>
          <w:rFonts w:hint="eastAsia"/>
          <w:lang w:val="en-US" w:eastAsia="zh-CN"/>
        </w:rPr>
        <w:t>3</w:t>
      </w:r>
      <w:r>
        <w:t>.2</w:t>
      </w:r>
      <w:r>
        <w:rPr>
          <w:rFonts w:hint="eastAsia"/>
        </w:rPr>
        <w:t>铭牌</w:t>
      </w:r>
      <w:bookmarkEnd w:id="15"/>
      <w:bookmarkEnd w:id="16"/>
      <w:bookmarkEnd w:id="17"/>
      <w:bookmarkEnd w:id="18"/>
    </w:p>
    <w:p w14:paraId="5C0464A5">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0B5A2666">
      <w:pPr>
        <w:topLinePunct/>
        <w:spacing w:line="312" w:lineRule="exact"/>
        <w:ind w:firstLine="420"/>
        <w:rPr>
          <w:szCs w:val="21"/>
        </w:rPr>
      </w:pPr>
      <w:r>
        <w:rPr>
          <w:szCs w:val="21"/>
        </w:rPr>
        <w:t>a)</w:t>
      </w:r>
      <w:r>
        <w:rPr>
          <w:rFonts w:hint="eastAsia"/>
          <w:szCs w:val="21"/>
        </w:rPr>
        <w:t>制造商（生产厂）或商标；</w:t>
      </w:r>
    </w:p>
    <w:p w14:paraId="7571DE0F">
      <w:pPr>
        <w:topLinePunct/>
        <w:spacing w:line="312" w:lineRule="exact"/>
        <w:ind w:firstLine="420"/>
        <w:rPr>
          <w:szCs w:val="21"/>
        </w:rPr>
      </w:pPr>
      <w:r>
        <w:rPr>
          <w:szCs w:val="21"/>
        </w:rPr>
        <w:t>b)</w:t>
      </w:r>
      <w:r>
        <w:rPr>
          <w:rFonts w:hint="eastAsia"/>
          <w:szCs w:val="21"/>
        </w:rPr>
        <w:t>型号或其他标记，据此可以从制造商得到有关的资料；</w:t>
      </w:r>
    </w:p>
    <w:p w14:paraId="7136D25A">
      <w:pPr>
        <w:topLinePunct/>
        <w:spacing w:line="312" w:lineRule="exact"/>
        <w:ind w:firstLine="420"/>
        <w:rPr>
          <w:szCs w:val="21"/>
        </w:rPr>
      </w:pPr>
      <w:r>
        <w:rPr>
          <w:szCs w:val="21"/>
        </w:rPr>
        <w:t>c)</w:t>
      </w:r>
      <w:r>
        <w:rPr>
          <w:rFonts w:hint="eastAsia"/>
          <w:szCs w:val="21"/>
        </w:rPr>
        <w:t>执行标准；</w:t>
      </w:r>
    </w:p>
    <w:p w14:paraId="2F93F117">
      <w:pPr>
        <w:topLinePunct/>
        <w:spacing w:line="312" w:lineRule="exact"/>
        <w:ind w:firstLine="420"/>
        <w:rPr>
          <w:szCs w:val="21"/>
        </w:rPr>
      </w:pPr>
      <w:r>
        <w:rPr>
          <w:szCs w:val="21"/>
        </w:rPr>
        <w:t>d)</w:t>
      </w:r>
      <w:r>
        <w:rPr>
          <w:rFonts w:hint="eastAsia"/>
          <w:szCs w:val="21"/>
        </w:rPr>
        <w:t>制造日期；</w:t>
      </w:r>
    </w:p>
    <w:p w14:paraId="448EEA98">
      <w:pPr>
        <w:topLinePunct/>
        <w:spacing w:line="312" w:lineRule="exact"/>
        <w:ind w:firstLine="420"/>
        <w:rPr>
          <w:szCs w:val="21"/>
        </w:rPr>
      </w:pPr>
      <w:r>
        <w:rPr>
          <w:szCs w:val="21"/>
        </w:rPr>
        <w:t>e)</w:t>
      </w:r>
      <w:r>
        <w:rPr>
          <w:rFonts w:hint="eastAsia"/>
          <w:szCs w:val="21"/>
        </w:rPr>
        <w:t>出厂编号；</w:t>
      </w:r>
    </w:p>
    <w:p w14:paraId="06F2C24B">
      <w:pPr>
        <w:topLinePunct/>
        <w:spacing w:line="312" w:lineRule="exact"/>
        <w:ind w:firstLine="420"/>
        <w:rPr>
          <w:szCs w:val="21"/>
        </w:rPr>
      </w:pPr>
      <w:r>
        <w:rPr>
          <w:szCs w:val="21"/>
        </w:rPr>
        <w:t>h)</w:t>
      </w:r>
      <w:r>
        <w:rPr>
          <w:rFonts w:hint="eastAsia"/>
          <w:szCs w:val="21"/>
        </w:rPr>
        <w:t>额定绝缘水平；</w:t>
      </w:r>
    </w:p>
    <w:p w14:paraId="13925323">
      <w:pPr>
        <w:pStyle w:val="61"/>
        <w:outlineLvl w:val="0"/>
      </w:pPr>
      <w:bookmarkStart w:id="19" w:name="_Toc438720046"/>
      <w:r>
        <w:rPr>
          <w:rFonts w:hint="eastAsia"/>
        </w:rPr>
        <w:t>6　试验</w:t>
      </w:r>
      <w:bookmarkEnd w:id="19"/>
    </w:p>
    <w:p w14:paraId="6ADB33F6">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2A71DCE6">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00F1BE11">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抽检试验由招标方委托第三方检验机构完成。</w:t>
      </w:r>
    </w:p>
    <w:p w14:paraId="3CA8BD2D">
      <w:pPr>
        <w:pStyle w:val="60"/>
      </w:pPr>
      <w:r>
        <w:rPr>
          <w:rFonts w:hint="eastAsia"/>
        </w:rPr>
        <w:t>6</w:t>
      </w:r>
      <w:r>
        <w:rPr>
          <w:rFonts w:hint="eastAsia"/>
          <w:spacing w:val="20"/>
        </w:rPr>
        <w:t>.</w:t>
      </w:r>
      <w:r>
        <w:rPr>
          <w:rFonts w:hint="eastAsia"/>
        </w:rPr>
        <w:t>4　出厂试验</w:t>
      </w:r>
    </w:p>
    <w:p w14:paraId="7CAD6EBF">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36AFABA2">
      <w:pPr>
        <w:pStyle w:val="60"/>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7EB7314A">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进行检测，检测方将检测结果报采购方审核确定，检测费用由投标人承担。</w:t>
      </w:r>
    </w:p>
    <w:p w14:paraId="7E584777">
      <w:pPr>
        <w:topLinePunct/>
        <w:spacing w:line="312" w:lineRule="exact"/>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4D2266E5">
      <w:pPr>
        <w:pStyle w:val="61"/>
        <w:outlineLvl w:val="0"/>
      </w:pPr>
      <w:r>
        <w:rPr>
          <w:rFonts w:hint="eastAsia"/>
        </w:rPr>
        <w:t>7　技术服务、工厂检验</w:t>
      </w:r>
      <w:bookmarkEnd w:id="20"/>
    </w:p>
    <w:p w14:paraId="3C9055ED">
      <w:pPr>
        <w:pStyle w:val="60"/>
      </w:pPr>
      <w:r>
        <w:rPr>
          <w:rFonts w:hint="eastAsia"/>
        </w:rPr>
        <w:t>7</w:t>
      </w:r>
      <w:r>
        <w:rPr>
          <w:rFonts w:hint="eastAsia"/>
          <w:spacing w:val="20"/>
        </w:rPr>
        <w:t>.</w:t>
      </w:r>
      <w:r>
        <w:rPr>
          <w:rFonts w:hint="eastAsia"/>
        </w:rPr>
        <w:t>1　技术服务</w:t>
      </w:r>
    </w:p>
    <w:p w14:paraId="70BB6FF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3EB0FAF7">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2965B465">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5BAD3BDC">
      <w:pPr>
        <w:ind w:left="840" w:hanging="420"/>
      </w:pPr>
      <w:r>
        <w:t>a</w:t>
      </w:r>
      <w:r>
        <w:rPr>
          <w:rFonts w:hint="eastAsia"/>
        </w:rPr>
        <w:t>）</w:t>
      </w:r>
      <w:r>
        <w:tab/>
      </w:r>
      <w:r>
        <w:rPr>
          <w:rFonts w:hint="eastAsia"/>
        </w:rPr>
        <w:t>投标人技术人员应按合同规定完成有关设备的技术服务，指导设备的安装、调试。</w:t>
      </w:r>
    </w:p>
    <w:p w14:paraId="49CC4905">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5D9CCC0E">
      <w:pPr>
        <w:ind w:left="840" w:hanging="420"/>
      </w:pPr>
      <w:r>
        <w:t>c</w:t>
      </w:r>
      <w:r>
        <w:rPr>
          <w:rFonts w:hint="eastAsia"/>
        </w:rPr>
        <w:t>）</w:t>
      </w:r>
      <w:r>
        <w:tab/>
      </w:r>
      <w:r>
        <w:rPr>
          <w:rFonts w:hint="eastAsia"/>
        </w:rPr>
        <w:t>投标人技术人员有义务协助招标人在现场对运行和维护的人员进行必要的培训。</w:t>
      </w:r>
    </w:p>
    <w:p w14:paraId="577EB2B1">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721D9CC5">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1" w:name="_Toc327369532"/>
    </w:p>
    <w:bookmarkEnd w:id="21"/>
    <w:p w14:paraId="483BF2B6">
      <w:pPr>
        <w:pStyle w:val="60"/>
      </w:pPr>
      <w:r>
        <w:rPr>
          <w:rFonts w:hint="eastAsia"/>
        </w:rPr>
        <w:t>7</w:t>
      </w:r>
      <w:r>
        <w:rPr>
          <w:rFonts w:hint="eastAsia"/>
          <w:spacing w:val="20"/>
        </w:rPr>
        <w:t>.</w:t>
      </w:r>
      <w:r>
        <w:rPr>
          <w:rFonts w:hint="eastAsia"/>
        </w:rPr>
        <w:t>2　</w:t>
      </w:r>
      <w:r>
        <w:rPr>
          <w:rFonts w:hint="eastAsia"/>
          <w:snapToGrid w:val="0"/>
        </w:rPr>
        <w:t>工厂检验</w:t>
      </w:r>
    </w:p>
    <w:p w14:paraId="19205711">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2151A765">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16EFE9BD">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2FA59472">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44E1EDED">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34037B7F">
      <w:pPr>
        <w:pStyle w:val="60"/>
      </w:pPr>
      <w:bookmarkStart w:id="22" w:name="_Toc178439789"/>
      <w:bookmarkStart w:id="23" w:name="_Toc269375989"/>
      <w:r>
        <w:rPr>
          <w:rFonts w:hint="eastAsia"/>
        </w:rPr>
        <w:t>7</w:t>
      </w:r>
      <w:r>
        <w:rPr>
          <w:rFonts w:hint="eastAsia"/>
          <w:spacing w:val="20"/>
        </w:rPr>
        <w:t>.3</w:t>
      </w:r>
      <w:r>
        <w:rPr>
          <w:rFonts w:hint="eastAsia"/>
        </w:rPr>
        <w:t>　</w:t>
      </w:r>
      <w:r>
        <w:rPr>
          <w:rFonts w:hint="eastAsia"/>
          <w:snapToGrid w:val="0"/>
        </w:rPr>
        <w:t>售后服务</w:t>
      </w:r>
    </w:p>
    <w:bookmarkEnd w:id="22"/>
    <w:bookmarkEnd w:id="23"/>
    <w:p w14:paraId="2C06B7FC">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58940DCD">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04050AFD">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069FAF60">
      <w:pPr>
        <w:pStyle w:val="61"/>
        <w:outlineLvl w:val="0"/>
      </w:pPr>
      <w:bookmarkStart w:id="24" w:name="_Toc438720048"/>
      <w:r>
        <w:rPr>
          <w:rFonts w:hint="eastAsia"/>
        </w:rPr>
        <w:t>8　报价表</w:t>
      </w:r>
      <w:bookmarkEnd w:id="24"/>
    </w:p>
    <w:p w14:paraId="6CF70CB4">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350C1B16">
        <w:trPr>
          <w:trHeight w:val="570" w:hRule="atLeast"/>
        </w:trPr>
        <w:tc>
          <w:tcPr>
            <w:tcW w:w="13061" w:type="dxa"/>
            <w:gridSpan w:val="8"/>
            <w:tcBorders>
              <w:top w:val="nil"/>
              <w:left w:val="nil"/>
              <w:bottom w:val="single" w:color="auto" w:sz="4" w:space="0"/>
              <w:right w:val="nil"/>
            </w:tcBorders>
            <w:shd w:val="clear" w:color="auto" w:fill="auto"/>
            <w:vAlign w:val="center"/>
          </w:tcPr>
          <w:p w14:paraId="3C8636BD">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2761B38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AA9C091">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6507D55B">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343499EA">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32047255">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7EEDE9E3">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29BFFFD0">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6D52662B">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5AF28619">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0D964D1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6C745F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5F21F0EF">
            <w:pPr>
              <w:keepNext w:val="0"/>
              <w:keepLines w:val="0"/>
              <w:widowControl/>
              <w:suppressLineNumbers w:val="0"/>
              <w:jc w:val="center"/>
              <w:textAlignment w:val="center"/>
              <w:rPr>
                <w:rFonts w:ascii="宋体" w:hAnsi="宋体" w:cs="宋体"/>
                <w:color w:val="000000"/>
                <w:kern w:val="0"/>
                <w:sz w:val="22"/>
                <w:szCs w:val="22"/>
              </w:rPr>
            </w:pPr>
            <w:r>
              <w:rPr>
                <w:rFonts w:hint="eastAsia" w:ascii="宋体" w:hAnsi="宋体" w:eastAsia="宋体" w:cs="宋体"/>
                <w:i w:val="0"/>
                <w:iCs w:val="0"/>
                <w:color w:val="auto"/>
                <w:kern w:val="0"/>
                <w:sz w:val="21"/>
                <w:szCs w:val="21"/>
                <w:u w:val="none"/>
                <w:lang w:val="en-US" w:eastAsia="zh-CN" w:bidi="ar"/>
              </w:rPr>
              <w:t>PMF660CT-100A2</w:t>
            </w:r>
          </w:p>
        </w:tc>
        <w:tc>
          <w:tcPr>
            <w:tcW w:w="779" w:type="dxa"/>
            <w:tcBorders>
              <w:top w:val="nil"/>
              <w:left w:val="nil"/>
              <w:bottom w:val="single" w:color="auto" w:sz="4" w:space="0"/>
              <w:right w:val="single" w:color="auto" w:sz="4" w:space="0"/>
            </w:tcBorders>
            <w:shd w:val="clear" w:color="auto" w:fill="auto"/>
            <w:vAlign w:val="center"/>
          </w:tcPr>
          <w:p w14:paraId="5878F0A7">
            <w:pPr>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495DC5C4">
            <w:pPr>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151F9FD0">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0CB706C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695AFE1">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6C85EFD">
            <w:pPr>
              <w:widowControl/>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圆形</w:t>
            </w:r>
          </w:p>
        </w:tc>
      </w:tr>
      <w:tr w14:paraId="292BE38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0063ED1">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60404723">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PMF660CT-160A2</w:t>
            </w:r>
          </w:p>
        </w:tc>
        <w:tc>
          <w:tcPr>
            <w:tcW w:w="779" w:type="dxa"/>
            <w:tcBorders>
              <w:top w:val="nil"/>
              <w:left w:val="nil"/>
              <w:bottom w:val="single" w:color="auto" w:sz="4" w:space="0"/>
              <w:right w:val="single" w:color="auto" w:sz="4" w:space="0"/>
            </w:tcBorders>
            <w:shd w:val="clear" w:color="auto" w:fill="auto"/>
            <w:vAlign w:val="center"/>
          </w:tcPr>
          <w:p w14:paraId="25336D97">
            <w:pPr>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54C3BBE0">
            <w:pPr>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5EF9F85D">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5148649E">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E6E38DE">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7729A0B">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46851AE9">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E5EE03A">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2F4DC1FF">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PMF660CT-250A2</w:t>
            </w:r>
          </w:p>
        </w:tc>
        <w:tc>
          <w:tcPr>
            <w:tcW w:w="779" w:type="dxa"/>
            <w:tcBorders>
              <w:top w:val="nil"/>
              <w:left w:val="nil"/>
              <w:bottom w:val="single" w:color="auto" w:sz="4" w:space="0"/>
              <w:right w:val="single" w:color="auto" w:sz="4" w:space="0"/>
            </w:tcBorders>
            <w:shd w:val="clear" w:color="auto" w:fill="auto"/>
            <w:vAlign w:val="center"/>
          </w:tcPr>
          <w:p w14:paraId="5C2165A5">
            <w:pPr>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64BC2A77">
            <w:pPr>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2B4912EB">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6E9B19D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ACAB5C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69A05B7">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3D908BF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198C66C">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24" w:type="dxa"/>
            <w:tcBorders>
              <w:top w:val="nil"/>
              <w:left w:val="nil"/>
              <w:bottom w:val="single" w:color="auto" w:sz="4" w:space="0"/>
              <w:right w:val="single" w:color="auto" w:sz="4" w:space="0"/>
            </w:tcBorders>
            <w:shd w:val="clear" w:color="auto" w:fill="auto"/>
            <w:vAlign w:val="center"/>
          </w:tcPr>
          <w:p w14:paraId="5037092C">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PMF660CT-400A2</w:t>
            </w:r>
          </w:p>
        </w:tc>
        <w:tc>
          <w:tcPr>
            <w:tcW w:w="779" w:type="dxa"/>
            <w:tcBorders>
              <w:top w:val="nil"/>
              <w:left w:val="nil"/>
              <w:bottom w:val="single" w:color="auto" w:sz="4" w:space="0"/>
              <w:right w:val="single" w:color="auto" w:sz="4" w:space="0"/>
            </w:tcBorders>
            <w:shd w:val="clear" w:color="auto" w:fill="auto"/>
            <w:vAlign w:val="center"/>
          </w:tcPr>
          <w:p w14:paraId="7C08F580">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18326617">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328B8E9D">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764FC0C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0228E3B">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0C9C4B6">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317BAE7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62BAF65">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4324" w:type="dxa"/>
            <w:tcBorders>
              <w:top w:val="nil"/>
              <w:left w:val="nil"/>
              <w:bottom w:val="single" w:color="auto" w:sz="4" w:space="0"/>
              <w:right w:val="single" w:color="auto" w:sz="4" w:space="0"/>
            </w:tcBorders>
            <w:shd w:val="clear" w:color="auto" w:fill="auto"/>
            <w:vAlign w:val="center"/>
          </w:tcPr>
          <w:p w14:paraId="2748D60E">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PMF660CT-630A2</w:t>
            </w:r>
          </w:p>
        </w:tc>
        <w:tc>
          <w:tcPr>
            <w:tcW w:w="779" w:type="dxa"/>
            <w:tcBorders>
              <w:top w:val="nil"/>
              <w:left w:val="nil"/>
              <w:bottom w:val="single" w:color="auto" w:sz="4" w:space="0"/>
              <w:right w:val="single" w:color="auto" w:sz="4" w:space="0"/>
            </w:tcBorders>
            <w:shd w:val="clear" w:color="auto" w:fill="auto"/>
            <w:vAlign w:val="center"/>
          </w:tcPr>
          <w:p w14:paraId="43D9BDFF">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259E0920">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34C110D9">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5294D2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584CA32">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11FEDE6">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12A185C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29B930E">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4324" w:type="dxa"/>
            <w:tcBorders>
              <w:top w:val="nil"/>
              <w:left w:val="nil"/>
              <w:bottom w:val="single" w:color="auto" w:sz="4" w:space="0"/>
              <w:right w:val="single" w:color="auto" w:sz="4" w:space="0"/>
            </w:tcBorders>
            <w:shd w:val="clear" w:color="auto" w:fill="auto"/>
            <w:vAlign w:val="center"/>
          </w:tcPr>
          <w:p w14:paraId="5273EE04">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PMF660CT-800A2</w:t>
            </w:r>
          </w:p>
        </w:tc>
        <w:tc>
          <w:tcPr>
            <w:tcW w:w="779" w:type="dxa"/>
            <w:tcBorders>
              <w:top w:val="nil"/>
              <w:left w:val="nil"/>
              <w:bottom w:val="single" w:color="auto" w:sz="4" w:space="0"/>
              <w:right w:val="single" w:color="auto" w:sz="4" w:space="0"/>
            </w:tcBorders>
            <w:shd w:val="clear" w:color="auto" w:fill="auto"/>
            <w:vAlign w:val="center"/>
          </w:tcPr>
          <w:p w14:paraId="3C7975DC">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48CDCE3C">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70EDF451">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F9D10F6">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4B8C9D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1FE55D7">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7343C9B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8407423">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4324" w:type="dxa"/>
            <w:tcBorders>
              <w:top w:val="nil"/>
              <w:left w:val="nil"/>
              <w:bottom w:val="single" w:color="auto" w:sz="4" w:space="0"/>
              <w:right w:val="single" w:color="auto" w:sz="4" w:space="0"/>
            </w:tcBorders>
            <w:shd w:val="clear" w:color="auto" w:fill="auto"/>
            <w:vAlign w:val="center"/>
          </w:tcPr>
          <w:p w14:paraId="4FE3346D">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PMF660CT-1000A2</w:t>
            </w:r>
          </w:p>
        </w:tc>
        <w:tc>
          <w:tcPr>
            <w:tcW w:w="779" w:type="dxa"/>
            <w:tcBorders>
              <w:top w:val="nil"/>
              <w:left w:val="nil"/>
              <w:bottom w:val="single" w:color="auto" w:sz="4" w:space="0"/>
              <w:right w:val="single" w:color="auto" w:sz="4" w:space="0"/>
            </w:tcBorders>
            <w:shd w:val="clear" w:color="auto" w:fill="auto"/>
            <w:vAlign w:val="center"/>
          </w:tcPr>
          <w:p w14:paraId="3BCB4B99">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734890F2">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7AF7DB2A">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026CC2B">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13A47C6">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A17BCF8">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7DD3AE5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41A2A80">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4324" w:type="dxa"/>
            <w:tcBorders>
              <w:top w:val="nil"/>
              <w:left w:val="nil"/>
              <w:bottom w:val="single" w:color="auto" w:sz="4" w:space="0"/>
              <w:right w:val="single" w:color="auto" w:sz="4" w:space="0"/>
            </w:tcBorders>
            <w:shd w:val="clear" w:color="auto" w:fill="auto"/>
            <w:vAlign w:val="center"/>
          </w:tcPr>
          <w:p w14:paraId="71128D70">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PMF660CT-1500A2</w:t>
            </w:r>
          </w:p>
        </w:tc>
        <w:tc>
          <w:tcPr>
            <w:tcW w:w="779" w:type="dxa"/>
            <w:tcBorders>
              <w:top w:val="nil"/>
              <w:left w:val="nil"/>
              <w:bottom w:val="single" w:color="auto" w:sz="4" w:space="0"/>
              <w:right w:val="single" w:color="auto" w:sz="4" w:space="0"/>
            </w:tcBorders>
            <w:shd w:val="clear" w:color="auto" w:fill="auto"/>
            <w:vAlign w:val="center"/>
          </w:tcPr>
          <w:p w14:paraId="302BA4FB">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212E33EC">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04AFB851">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4F7FF4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45A2E7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A590E37">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圆形</w:t>
            </w:r>
          </w:p>
        </w:tc>
      </w:tr>
      <w:tr w14:paraId="37DA9821">
        <w:tblPrEx>
          <w:tblCellMar>
            <w:top w:w="0" w:type="dxa"/>
            <w:left w:w="108" w:type="dxa"/>
            <w:bottom w:w="0" w:type="dxa"/>
            <w:right w:w="108" w:type="dxa"/>
          </w:tblCellMar>
        </w:tblPrEx>
        <w:trPr>
          <w:trHeight w:val="244"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E76411B">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4324" w:type="dxa"/>
            <w:tcBorders>
              <w:top w:val="nil"/>
              <w:left w:val="nil"/>
              <w:bottom w:val="single" w:color="auto" w:sz="4" w:space="0"/>
              <w:right w:val="single" w:color="auto" w:sz="4" w:space="0"/>
            </w:tcBorders>
            <w:shd w:val="clear" w:color="auto" w:fill="auto"/>
            <w:vAlign w:val="center"/>
          </w:tcPr>
          <w:p w14:paraId="2D073FE1">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PMF660CT-100FA2</w:t>
            </w:r>
          </w:p>
        </w:tc>
        <w:tc>
          <w:tcPr>
            <w:tcW w:w="779" w:type="dxa"/>
            <w:tcBorders>
              <w:top w:val="nil"/>
              <w:left w:val="nil"/>
              <w:bottom w:val="single" w:color="auto" w:sz="4" w:space="0"/>
              <w:right w:val="single" w:color="auto" w:sz="4" w:space="0"/>
            </w:tcBorders>
            <w:shd w:val="clear" w:color="auto" w:fill="auto"/>
            <w:vAlign w:val="center"/>
          </w:tcPr>
          <w:p w14:paraId="1A251660">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76A6AF0A">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109C9AF9">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16335A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D9381E4">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201D343">
            <w:pPr>
              <w:widowControl/>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方形</w:t>
            </w:r>
          </w:p>
        </w:tc>
      </w:tr>
      <w:tr w14:paraId="2759716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A9F8A9E">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324" w:type="dxa"/>
            <w:tcBorders>
              <w:top w:val="nil"/>
              <w:left w:val="nil"/>
              <w:bottom w:val="single" w:color="auto" w:sz="4" w:space="0"/>
              <w:right w:val="single" w:color="auto" w:sz="4" w:space="0"/>
            </w:tcBorders>
            <w:shd w:val="clear" w:color="auto" w:fill="auto"/>
            <w:vAlign w:val="center"/>
          </w:tcPr>
          <w:p w14:paraId="0632FB18">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PMF660CT-250FA2</w:t>
            </w:r>
          </w:p>
        </w:tc>
        <w:tc>
          <w:tcPr>
            <w:tcW w:w="779" w:type="dxa"/>
            <w:tcBorders>
              <w:top w:val="nil"/>
              <w:left w:val="nil"/>
              <w:bottom w:val="single" w:color="auto" w:sz="4" w:space="0"/>
              <w:right w:val="single" w:color="auto" w:sz="4" w:space="0"/>
            </w:tcBorders>
            <w:shd w:val="clear" w:color="auto" w:fill="auto"/>
            <w:vAlign w:val="center"/>
          </w:tcPr>
          <w:p w14:paraId="393F3520">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7D019A99">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387F3AB6">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026957E">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42DF1B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CC67719">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方形</w:t>
            </w:r>
          </w:p>
        </w:tc>
      </w:tr>
      <w:tr w14:paraId="2C5506A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EBB46B9">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4324" w:type="dxa"/>
            <w:tcBorders>
              <w:top w:val="nil"/>
              <w:left w:val="nil"/>
              <w:bottom w:val="single" w:color="auto" w:sz="4" w:space="0"/>
              <w:right w:val="single" w:color="auto" w:sz="4" w:space="0"/>
            </w:tcBorders>
            <w:shd w:val="clear" w:color="auto" w:fill="auto"/>
            <w:vAlign w:val="center"/>
          </w:tcPr>
          <w:p w14:paraId="6326FFFE">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PMF660CT-400FA2</w:t>
            </w:r>
          </w:p>
        </w:tc>
        <w:tc>
          <w:tcPr>
            <w:tcW w:w="779" w:type="dxa"/>
            <w:tcBorders>
              <w:top w:val="nil"/>
              <w:left w:val="nil"/>
              <w:bottom w:val="single" w:color="auto" w:sz="4" w:space="0"/>
              <w:right w:val="single" w:color="auto" w:sz="4" w:space="0"/>
            </w:tcBorders>
            <w:shd w:val="clear" w:color="auto" w:fill="auto"/>
            <w:vAlign w:val="center"/>
          </w:tcPr>
          <w:p w14:paraId="4B708267">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4C724EB2">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42759FFB">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136A0351">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BF23284">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B2C6786">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方形</w:t>
            </w:r>
          </w:p>
        </w:tc>
      </w:tr>
      <w:tr w14:paraId="7D31C0B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4163B0B">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4324" w:type="dxa"/>
            <w:tcBorders>
              <w:top w:val="nil"/>
              <w:left w:val="nil"/>
              <w:bottom w:val="single" w:color="auto" w:sz="4" w:space="0"/>
              <w:right w:val="single" w:color="auto" w:sz="4" w:space="0"/>
            </w:tcBorders>
            <w:shd w:val="clear" w:color="auto" w:fill="auto"/>
            <w:vAlign w:val="center"/>
          </w:tcPr>
          <w:p w14:paraId="566E7D76">
            <w:pPr>
              <w:keepNext w:val="0"/>
              <w:keepLines w:val="0"/>
              <w:widowControl/>
              <w:suppressLineNumbers w:val="0"/>
              <w:jc w:val="center"/>
              <w:textAlignment w:val="center"/>
              <w:rPr>
                <w:rFonts w:ascii="宋体" w:hAnsi="宋体" w:cs="宋体"/>
                <w:color w:val="000000"/>
                <w:kern w:val="0"/>
                <w:sz w:val="22"/>
                <w:szCs w:val="22"/>
                <w:highlight w:val="yellow"/>
              </w:rPr>
            </w:pPr>
            <w:r>
              <w:rPr>
                <w:rFonts w:hint="eastAsia" w:ascii="宋体" w:hAnsi="宋体" w:eastAsia="宋体" w:cs="宋体"/>
                <w:i w:val="0"/>
                <w:iCs w:val="0"/>
                <w:color w:val="auto"/>
                <w:kern w:val="0"/>
                <w:sz w:val="21"/>
                <w:szCs w:val="21"/>
                <w:u w:val="none"/>
                <w:lang w:val="en-US" w:eastAsia="zh-CN" w:bidi="ar"/>
              </w:rPr>
              <w:t>PMF660CT-630FA2</w:t>
            </w:r>
          </w:p>
        </w:tc>
        <w:tc>
          <w:tcPr>
            <w:tcW w:w="779" w:type="dxa"/>
            <w:tcBorders>
              <w:top w:val="nil"/>
              <w:left w:val="nil"/>
              <w:bottom w:val="single" w:color="auto" w:sz="4" w:space="0"/>
              <w:right w:val="single" w:color="auto" w:sz="4" w:space="0"/>
            </w:tcBorders>
            <w:shd w:val="clear" w:color="auto" w:fill="auto"/>
            <w:vAlign w:val="center"/>
          </w:tcPr>
          <w:p w14:paraId="3865AA42">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530BCD30">
            <w:pPr>
              <w:jc w:val="center"/>
              <w:rPr>
                <w:rFonts w:ascii="宋体" w:hAnsi="宋体" w:cs="宋体"/>
                <w:color w:val="000000"/>
                <w:kern w:val="0"/>
                <w:sz w:val="22"/>
                <w:szCs w:val="22"/>
                <w:highlight w:val="yellow"/>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5F94FD5D">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427F4F6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F61495E">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31EFF13">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方形</w:t>
            </w:r>
          </w:p>
        </w:tc>
      </w:tr>
      <w:tr w14:paraId="696D0A0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FE6D03B">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13</w:t>
            </w:r>
          </w:p>
        </w:tc>
        <w:tc>
          <w:tcPr>
            <w:tcW w:w="4324" w:type="dxa"/>
            <w:tcBorders>
              <w:top w:val="nil"/>
              <w:left w:val="nil"/>
              <w:bottom w:val="single" w:color="auto" w:sz="4" w:space="0"/>
              <w:right w:val="single" w:color="auto" w:sz="4" w:space="0"/>
            </w:tcBorders>
            <w:shd w:val="clear" w:color="auto" w:fill="auto"/>
            <w:vAlign w:val="center"/>
          </w:tcPr>
          <w:p w14:paraId="7431DC2B">
            <w:pPr>
              <w:keepNext w:val="0"/>
              <w:keepLines w:val="0"/>
              <w:widowControl/>
              <w:suppressLineNumbers w:val="0"/>
              <w:jc w:val="center"/>
              <w:textAlignment w:val="center"/>
              <w:rPr>
                <w:rFonts w:ascii="宋体" w:hAnsi="宋体" w:cs="宋体"/>
                <w:color w:val="000000"/>
                <w:kern w:val="0"/>
                <w:sz w:val="22"/>
                <w:szCs w:val="22"/>
              </w:rPr>
            </w:pPr>
            <w:r>
              <w:rPr>
                <w:rFonts w:hint="eastAsia" w:ascii="宋体" w:hAnsi="宋体" w:eastAsia="宋体" w:cs="宋体"/>
                <w:i w:val="0"/>
                <w:iCs w:val="0"/>
                <w:color w:val="000000"/>
                <w:kern w:val="0"/>
                <w:sz w:val="21"/>
                <w:szCs w:val="21"/>
                <w:u w:val="none"/>
                <w:lang w:val="en-US" w:eastAsia="zh-CN" w:bidi="ar"/>
              </w:rPr>
              <w:t>PMF660CT-1000FA2</w:t>
            </w:r>
          </w:p>
        </w:tc>
        <w:tc>
          <w:tcPr>
            <w:tcW w:w="779" w:type="dxa"/>
            <w:tcBorders>
              <w:top w:val="nil"/>
              <w:left w:val="nil"/>
              <w:bottom w:val="single" w:color="auto" w:sz="4" w:space="0"/>
              <w:right w:val="single" w:color="auto" w:sz="4" w:space="0"/>
            </w:tcBorders>
            <w:shd w:val="clear" w:color="auto" w:fill="auto"/>
            <w:vAlign w:val="center"/>
          </w:tcPr>
          <w:p w14:paraId="02ECF08A">
            <w:pPr>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个</w:t>
            </w:r>
          </w:p>
        </w:tc>
        <w:tc>
          <w:tcPr>
            <w:tcW w:w="939" w:type="dxa"/>
            <w:tcBorders>
              <w:top w:val="nil"/>
              <w:left w:val="nil"/>
              <w:bottom w:val="single" w:color="auto" w:sz="4" w:space="0"/>
              <w:right w:val="single" w:color="auto" w:sz="4" w:space="0"/>
            </w:tcBorders>
            <w:shd w:val="clear" w:color="auto" w:fill="auto"/>
            <w:vAlign w:val="center"/>
          </w:tcPr>
          <w:p w14:paraId="7B7754E9">
            <w:pPr>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661D9ADD">
            <w:pPr>
              <w:widowControl/>
              <w:jc w:val="left"/>
              <w:rPr>
                <w:rFonts w:ascii="宋体" w:hAnsi="宋体" w:cs="宋体"/>
                <w:color w:val="000000"/>
                <w:kern w:val="0"/>
                <w:sz w:val="22"/>
                <w:szCs w:val="22"/>
              </w:rPr>
            </w:pPr>
          </w:p>
        </w:tc>
        <w:tc>
          <w:tcPr>
            <w:tcW w:w="859" w:type="dxa"/>
            <w:tcBorders>
              <w:top w:val="nil"/>
              <w:left w:val="nil"/>
              <w:bottom w:val="single" w:color="auto" w:sz="4" w:space="0"/>
              <w:right w:val="single" w:color="auto" w:sz="4" w:space="0"/>
            </w:tcBorders>
            <w:shd w:val="clear" w:color="auto" w:fill="auto"/>
            <w:vAlign w:val="center"/>
          </w:tcPr>
          <w:p w14:paraId="620AF30C">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495538E8">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4A1936DE">
            <w:pPr>
              <w:widowControl/>
              <w:jc w:val="center"/>
              <w:rPr>
                <w:rFonts w:ascii="宋体" w:hAnsi="宋体" w:cs="宋体"/>
                <w:color w:val="000000"/>
                <w:kern w:val="0"/>
                <w:sz w:val="22"/>
                <w:szCs w:val="22"/>
              </w:rPr>
            </w:pPr>
            <w:r>
              <w:rPr>
                <w:rFonts w:hint="eastAsia" w:ascii="宋体" w:hAnsi="宋体" w:cs="宋体"/>
                <w:color w:val="000000"/>
                <w:kern w:val="0"/>
                <w:sz w:val="22"/>
                <w:szCs w:val="22"/>
                <w:highlight w:val="none"/>
                <w:lang w:val="en-US" w:eastAsia="zh-CN"/>
              </w:rPr>
              <w:t>方形</w:t>
            </w:r>
          </w:p>
        </w:tc>
      </w:tr>
      <w:tr w14:paraId="2764BD7E">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F89A650">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3A6DBEE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1FD83D3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7991BD4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766B51B">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E182C49">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6231C187">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7F063B6">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284CF191">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AA1BBF1">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2425F4C2">
      <w:pPr>
        <w:topLinePunct/>
        <w:spacing w:line="312" w:lineRule="exact"/>
        <w:ind w:firstLine="420"/>
      </w:pPr>
    </w:p>
    <w:p w14:paraId="332932AA">
      <w:pPr>
        <w:topLinePunct/>
        <w:spacing w:line="312" w:lineRule="exact"/>
        <w:ind w:firstLine="420"/>
      </w:pPr>
    </w:p>
    <w:p w14:paraId="29191C72">
      <w:pPr>
        <w:topLinePunct/>
      </w:pPr>
      <w:bookmarkStart w:id="25" w:name="_GoBack"/>
      <w:bookmarkEnd w:id="25"/>
    </w:p>
    <w:p w14:paraId="1ACBB3AF">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黑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A694D">
    <w:pPr>
      <w:pStyle w:val="26"/>
      <w:jc w:val="center"/>
    </w:pPr>
    <w:r>
      <w:fldChar w:fldCharType="begin"/>
    </w:r>
    <w:r>
      <w:instrText xml:space="preserve"> PAGE   \* MERGEFORMAT </w:instrText>
    </w:r>
    <w:r>
      <w:fldChar w:fldCharType="separate"/>
    </w:r>
    <w:r>
      <w:t>3</w:t>
    </w:r>
    <w:r>
      <w:rPr>
        <w:lang w:val="zh-CN"/>
      </w:rPr>
      <w:fldChar w:fldCharType="end"/>
    </w:r>
  </w:p>
  <w:p w14:paraId="7F859149">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308E0">
    <w:pPr>
      <w:pStyle w:val="26"/>
      <w:jc w:val="center"/>
    </w:pPr>
    <w:r>
      <w:fldChar w:fldCharType="begin"/>
    </w:r>
    <w:r>
      <w:instrText xml:space="preserve"> PAGE   \* MERGEFORMAT </w:instrText>
    </w:r>
    <w:r>
      <w:fldChar w:fldCharType="separate"/>
    </w:r>
    <w:r>
      <w:t>1</w:t>
    </w:r>
    <w:r>
      <w:rPr>
        <w:lang w:val="zh-CN"/>
      </w:rPr>
      <w:fldChar w:fldCharType="end"/>
    </w:r>
  </w:p>
  <w:p w14:paraId="3FD6433B">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25E3CD"/>
    <w:multiLevelType w:val="singleLevel"/>
    <w:tmpl w:val="3525E3CD"/>
    <w:lvl w:ilvl="0" w:tentative="0">
      <w:start w:val="1"/>
      <w:numFmt w:val="chineseCounting"/>
      <w:suff w:val="nothing"/>
      <w:lvlText w:val="%1、"/>
      <w:lvlJc w:val="left"/>
      <w:rPr>
        <w:rFonts w:hint="eastAsia"/>
      </w:rPr>
    </w:lvl>
  </w:abstractNum>
  <w:abstractNum w:abstractNumId="1">
    <w:nsid w:val="35FD2819"/>
    <w:multiLevelType w:val="singleLevel"/>
    <w:tmpl w:val="35FD2819"/>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0E94"/>
    <w:rsid w:val="00006B18"/>
    <w:rsid w:val="00010CA8"/>
    <w:rsid w:val="000129FA"/>
    <w:rsid w:val="00021C97"/>
    <w:rsid w:val="00026D8C"/>
    <w:rsid w:val="00027790"/>
    <w:rsid w:val="0003157D"/>
    <w:rsid w:val="00043F3D"/>
    <w:rsid w:val="00045539"/>
    <w:rsid w:val="00045CC3"/>
    <w:rsid w:val="00052B72"/>
    <w:rsid w:val="00053F23"/>
    <w:rsid w:val="0006061E"/>
    <w:rsid w:val="00061FA9"/>
    <w:rsid w:val="00066494"/>
    <w:rsid w:val="000769B5"/>
    <w:rsid w:val="00077CBC"/>
    <w:rsid w:val="000A7A21"/>
    <w:rsid w:val="000B4431"/>
    <w:rsid w:val="000D2324"/>
    <w:rsid w:val="000E0865"/>
    <w:rsid w:val="000E71D5"/>
    <w:rsid w:val="000F0DBA"/>
    <w:rsid w:val="000F2116"/>
    <w:rsid w:val="000F6B6F"/>
    <w:rsid w:val="00102258"/>
    <w:rsid w:val="001111F6"/>
    <w:rsid w:val="00122054"/>
    <w:rsid w:val="00124CF9"/>
    <w:rsid w:val="00125A87"/>
    <w:rsid w:val="001273B0"/>
    <w:rsid w:val="001313B0"/>
    <w:rsid w:val="001352A0"/>
    <w:rsid w:val="001358F8"/>
    <w:rsid w:val="00141416"/>
    <w:rsid w:val="00146E6B"/>
    <w:rsid w:val="00150D82"/>
    <w:rsid w:val="00151200"/>
    <w:rsid w:val="00155E6D"/>
    <w:rsid w:val="00163788"/>
    <w:rsid w:val="00167BB5"/>
    <w:rsid w:val="00172A27"/>
    <w:rsid w:val="00173B40"/>
    <w:rsid w:val="00176673"/>
    <w:rsid w:val="00187CDB"/>
    <w:rsid w:val="00191947"/>
    <w:rsid w:val="001A0F14"/>
    <w:rsid w:val="001B224E"/>
    <w:rsid w:val="001D3F56"/>
    <w:rsid w:val="001D4A24"/>
    <w:rsid w:val="001D5A98"/>
    <w:rsid w:val="001D7370"/>
    <w:rsid w:val="001E0BA6"/>
    <w:rsid w:val="001E30AC"/>
    <w:rsid w:val="001E73C8"/>
    <w:rsid w:val="002068E4"/>
    <w:rsid w:val="00206B25"/>
    <w:rsid w:val="00223B9C"/>
    <w:rsid w:val="00231234"/>
    <w:rsid w:val="00242A2C"/>
    <w:rsid w:val="00242A43"/>
    <w:rsid w:val="002435A4"/>
    <w:rsid w:val="00244374"/>
    <w:rsid w:val="0024587E"/>
    <w:rsid w:val="0024602B"/>
    <w:rsid w:val="002471DD"/>
    <w:rsid w:val="00251B37"/>
    <w:rsid w:val="00252AEC"/>
    <w:rsid w:val="00256966"/>
    <w:rsid w:val="00261356"/>
    <w:rsid w:val="00272408"/>
    <w:rsid w:val="00282E60"/>
    <w:rsid w:val="002A1454"/>
    <w:rsid w:val="002A42DE"/>
    <w:rsid w:val="002A660A"/>
    <w:rsid w:val="002A7817"/>
    <w:rsid w:val="002B0A43"/>
    <w:rsid w:val="002B1A44"/>
    <w:rsid w:val="002B3EC8"/>
    <w:rsid w:val="002B4BAC"/>
    <w:rsid w:val="002B5163"/>
    <w:rsid w:val="002B590D"/>
    <w:rsid w:val="002E011C"/>
    <w:rsid w:val="002E4C2F"/>
    <w:rsid w:val="002F0592"/>
    <w:rsid w:val="002F1B42"/>
    <w:rsid w:val="002F33B7"/>
    <w:rsid w:val="002F4C3E"/>
    <w:rsid w:val="003113EA"/>
    <w:rsid w:val="00316B25"/>
    <w:rsid w:val="00325A4B"/>
    <w:rsid w:val="003350ED"/>
    <w:rsid w:val="00340BAB"/>
    <w:rsid w:val="00342D0E"/>
    <w:rsid w:val="003446BE"/>
    <w:rsid w:val="003467A6"/>
    <w:rsid w:val="0035001B"/>
    <w:rsid w:val="0036382B"/>
    <w:rsid w:val="00370DD9"/>
    <w:rsid w:val="00371318"/>
    <w:rsid w:val="00371960"/>
    <w:rsid w:val="003A23E3"/>
    <w:rsid w:val="003A72ED"/>
    <w:rsid w:val="003A7357"/>
    <w:rsid w:val="003B46BA"/>
    <w:rsid w:val="003C5E0E"/>
    <w:rsid w:val="003D15AE"/>
    <w:rsid w:val="003D4015"/>
    <w:rsid w:val="003D5865"/>
    <w:rsid w:val="0042491D"/>
    <w:rsid w:val="00425581"/>
    <w:rsid w:val="00430A12"/>
    <w:rsid w:val="00436935"/>
    <w:rsid w:val="004452CF"/>
    <w:rsid w:val="004454B6"/>
    <w:rsid w:val="00451FFE"/>
    <w:rsid w:val="00452D23"/>
    <w:rsid w:val="00464F99"/>
    <w:rsid w:val="00484986"/>
    <w:rsid w:val="00490823"/>
    <w:rsid w:val="00496952"/>
    <w:rsid w:val="004A12A0"/>
    <w:rsid w:val="004A3B04"/>
    <w:rsid w:val="004A6249"/>
    <w:rsid w:val="004B68FC"/>
    <w:rsid w:val="004D4C3E"/>
    <w:rsid w:val="004F38D0"/>
    <w:rsid w:val="004F6235"/>
    <w:rsid w:val="004F7249"/>
    <w:rsid w:val="0051013C"/>
    <w:rsid w:val="0051449A"/>
    <w:rsid w:val="005171F8"/>
    <w:rsid w:val="00520783"/>
    <w:rsid w:val="00520F99"/>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D664E"/>
    <w:rsid w:val="005E1592"/>
    <w:rsid w:val="005E1B98"/>
    <w:rsid w:val="00601806"/>
    <w:rsid w:val="00606E08"/>
    <w:rsid w:val="00613A50"/>
    <w:rsid w:val="006145F4"/>
    <w:rsid w:val="006206EA"/>
    <w:rsid w:val="00623CCA"/>
    <w:rsid w:val="00625E17"/>
    <w:rsid w:val="00633249"/>
    <w:rsid w:val="00637FF3"/>
    <w:rsid w:val="00645E30"/>
    <w:rsid w:val="006468F1"/>
    <w:rsid w:val="00646E81"/>
    <w:rsid w:val="006668F2"/>
    <w:rsid w:val="00667ED6"/>
    <w:rsid w:val="006758B7"/>
    <w:rsid w:val="006A3C8E"/>
    <w:rsid w:val="006B1A94"/>
    <w:rsid w:val="006B4021"/>
    <w:rsid w:val="006B5CE9"/>
    <w:rsid w:val="006C741F"/>
    <w:rsid w:val="006D0D90"/>
    <w:rsid w:val="006D4013"/>
    <w:rsid w:val="006F0A5D"/>
    <w:rsid w:val="006F330A"/>
    <w:rsid w:val="006F40F2"/>
    <w:rsid w:val="007316C4"/>
    <w:rsid w:val="00732EE4"/>
    <w:rsid w:val="00737DFD"/>
    <w:rsid w:val="00742004"/>
    <w:rsid w:val="00742362"/>
    <w:rsid w:val="007468D5"/>
    <w:rsid w:val="0074763D"/>
    <w:rsid w:val="00761708"/>
    <w:rsid w:val="00764A6F"/>
    <w:rsid w:val="00785B22"/>
    <w:rsid w:val="00795068"/>
    <w:rsid w:val="007A466A"/>
    <w:rsid w:val="007B7452"/>
    <w:rsid w:val="007C1A2E"/>
    <w:rsid w:val="007D06F9"/>
    <w:rsid w:val="007D36A6"/>
    <w:rsid w:val="007D5311"/>
    <w:rsid w:val="007D6A90"/>
    <w:rsid w:val="007D6DFC"/>
    <w:rsid w:val="007E0BD7"/>
    <w:rsid w:val="007E264C"/>
    <w:rsid w:val="007F7D07"/>
    <w:rsid w:val="00803E4B"/>
    <w:rsid w:val="00806A1E"/>
    <w:rsid w:val="00813604"/>
    <w:rsid w:val="00824563"/>
    <w:rsid w:val="008308D9"/>
    <w:rsid w:val="0084002D"/>
    <w:rsid w:val="00845124"/>
    <w:rsid w:val="0084608A"/>
    <w:rsid w:val="008513B9"/>
    <w:rsid w:val="008526C8"/>
    <w:rsid w:val="00855A6F"/>
    <w:rsid w:val="00857EFD"/>
    <w:rsid w:val="0086521A"/>
    <w:rsid w:val="00886579"/>
    <w:rsid w:val="008936C7"/>
    <w:rsid w:val="008A5D41"/>
    <w:rsid w:val="008B0D4D"/>
    <w:rsid w:val="008B2A3C"/>
    <w:rsid w:val="008B3CDB"/>
    <w:rsid w:val="008C2088"/>
    <w:rsid w:val="008C20C8"/>
    <w:rsid w:val="008E210E"/>
    <w:rsid w:val="008E430D"/>
    <w:rsid w:val="008E5827"/>
    <w:rsid w:val="008F0755"/>
    <w:rsid w:val="00915AB6"/>
    <w:rsid w:val="009167DD"/>
    <w:rsid w:val="00917651"/>
    <w:rsid w:val="009561A8"/>
    <w:rsid w:val="0095761E"/>
    <w:rsid w:val="0096314C"/>
    <w:rsid w:val="0098245F"/>
    <w:rsid w:val="00987474"/>
    <w:rsid w:val="00987D69"/>
    <w:rsid w:val="009960D2"/>
    <w:rsid w:val="00996674"/>
    <w:rsid w:val="009A1695"/>
    <w:rsid w:val="009A5D36"/>
    <w:rsid w:val="009A5F72"/>
    <w:rsid w:val="009A72DB"/>
    <w:rsid w:val="009B45E3"/>
    <w:rsid w:val="009D1F42"/>
    <w:rsid w:val="009D6CD0"/>
    <w:rsid w:val="009E1523"/>
    <w:rsid w:val="009E40CA"/>
    <w:rsid w:val="009E4A81"/>
    <w:rsid w:val="009E529C"/>
    <w:rsid w:val="009E65C0"/>
    <w:rsid w:val="009E7D2C"/>
    <w:rsid w:val="009F60D9"/>
    <w:rsid w:val="00A00BA0"/>
    <w:rsid w:val="00A037CD"/>
    <w:rsid w:val="00A216F9"/>
    <w:rsid w:val="00A269F5"/>
    <w:rsid w:val="00A27D4D"/>
    <w:rsid w:val="00A41E92"/>
    <w:rsid w:val="00A463D3"/>
    <w:rsid w:val="00A53559"/>
    <w:rsid w:val="00A758F5"/>
    <w:rsid w:val="00A83A8D"/>
    <w:rsid w:val="00A900DF"/>
    <w:rsid w:val="00A93372"/>
    <w:rsid w:val="00AA6DC4"/>
    <w:rsid w:val="00AA7E3A"/>
    <w:rsid w:val="00AB35A8"/>
    <w:rsid w:val="00AB48DB"/>
    <w:rsid w:val="00AC0E14"/>
    <w:rsid w:val="00AD0ACE"/>
    <w:rsid w:val="00AD1D38"/>
    <w:rsid w:val="00AD4B66"/>
    <w:rsid w:val="00AD7CA0"/>
    <w:rsid w:val="00AE3AF0"/>
    <w:rsid w:val="00AF363E"/>
    <w:rsid w:val="00AF36E4"/>
    <w:rsid w:val="00AF6B41"/>
    <w:rsid w:val="00B04D82"/>
    <w:rsid w:val="00B36662"/>
    <w:rsid w:val="00B4117D"/>
    <w:rsid w:val="00B41F84"/>
    <w:rsid w:val="00B473EC"/>
    <w:rsid w:val="00B50432"/>
    <w:rsid w:val="00B54BC6"/>
    <w:rsid w:val="00B73FC6"/>
    <w:rsid w:val="00B8123C"/>
    <w:rsid w:val="00B9061F"/>
    <w:rsid w:val="00B946D4"/>
    <w:rsid w:val="00BA592E"/>
    <w:rsid w:val="00BB61F7"/>
    <w:rsid w:val="00BC29F4"/>
    <w:rsid w:val="00BD261E"/>
    <w:rsid w:val="00BD4271"/>
    <w:rsid w:val="00BD7DED"/>
    <w:rsid w:val="00BD7E3C"/>
    <w:rsid w:val="00BE0372"/>
    <w:rsid w:val="00BE0B58"/>
    <w:rsid w:val="00BE262E"/>
    <w:rsid w:val="00BE5AB5"/>
    <w:rsid w:val="00BF11D3"/>
    <w:rsid w:val="00BF1BCE"/>
    <w:rsid w:val="00C0401A"/>
    <w:rsid w:val="00C1068F"/>
    <w:rsid w:val="00C12F2F"/>
    <w:rsid w:val="00C173ED"/>
    <w:rsid w:val="00C27061"/>
    <w:rsid w:val="00C30BBB"/>
    <w:rsid w:val="00C31F24"/>
    <w:rsid w:val="00C43771"/>
    <w:rsid w:val="00C4463A"/>
    <w:rsid w:val="00C51C65"/>
    <w:rsid w:val="00C63045"/>
    <w:rsid w:val="00C63D0F"/>
    <w:rsid w:val="00C7132A"/>
    <w:rsid w:val="00C71565"/>
    <w:rsid w:val="00C8209C"/>
    <w:rsid w:val="00C91614"/>
    <w:rsid w:val="00C969AE"/>
    <w:rsid w:val="00CA1EB1"/>
    <w:rsid w:val="00CD1EE2"/>
    <w:rsid w:val="00CD32B4"/>
    <w:rsid w:val="00CE07C7"/>
    <w:rsid w:val="00CE338D"/>
    <w:rsid w:val="00CE6474"/>
    <w:rsid w:val="00CF1ABA"/>
    <w:rsid w:val="00CF4144"/>
    <w:rsid w:val="00D135CE"/>
    <w:rsid w:val="00D16E3D"/>
    <w:rsid w:val="00D17C9A"/>
    <w:rsid w:val="00D2191D"/>
    <w:rsid w:val="00D24413"/>
    <w:rsid w:val="00D372D8"/>
    <w:rsid w:val="00D4391A"/>
    <w:rsid w:val="00D44C09"/>
    <w:rsid w:val="00D46E07"/>
    <w:rsid w:val="00D6378E"/>
    <w:rsid w:val="00D82DC4"/>
    <w:rsid w:val="00D832F2"/>
    <w:rsid w:val="00DA34CE"/>
    <w:rsid w:val="00DA46BD"/>
    <w:rsid w:val="00DB28D4"/>
    <w:rsid w:val="00DB37A2"/>
    <w:rsid w:val="00DC5EFD"/>
    <w:rsid w:val="00DC6903"/>
    <w:rsid w:val="00DE0103"/>
    <w:rsid w:val="00DE0835"/>
    <w:rsid w:val="00DE4135"/>
    <w:rsid w:val="00DE4259"/>
    <w:rsid w:val="00DE6026"/>
    <w:rsid w:val="00DF448D"/>
    <w:rsid w:val="00DF44F3"/>
    <w:rsid w:val="00E01E45"/>
    <w:rsid w:val="00E1179E"/>
    <w:rsid w:val="00E11ED8"/>
    <w:rsid w:val="00E226C8"/>
    <w:rsid w:val="00E242D2"/>
    <w:rsid w:val="00E24F51"/>
    <w:rsid w:val="00E33ED8"/>
    <w:rsid w:val="00E35B94"/>
    <w:rsid w:val="00E37DD2"/>
    <w:rsid w:val="00E46590"/>
    <w:rsid w:val="00E467A4"/>
    <w:rsid w:val="00E506B2"/>
    <w:rsid w:val="00E52674"/>
    <w:rsid w:val="00E70EF5"/>
    <w:rsid w:val="00E740AD"/>
    <w:rsid w:val="00E96BDF"/>
    <w:rsid w:val="00EA135C"/>
    <w:rsid w:val="00EB4034"/>
    <w:rsid w:val="00EB6EB0"/>
    <w:rsid w:val="00EC7C07"/>
    <w:rsid w:val="00ED202D"/>
    <w:rsid w:val="00ED410A"/>
    <w:rsid w:val="00ED6417"/>
    <w:rsid w:val="00ED750E"/>
    <w:rsid w:val="00EE463C"/>
    <w:rsid w:val="00F01EEE"/>
    <w:rsid w:val="00F16435"/>
    <w:rsid w:val="00F1750B"/>
    <w:rsid w:val="00F17F42"/>
    <w:rsid w:val="00F424CA"/>
    <w:rsid w:val="00F446C8"/>
    <w:rsid w:val="00F54EE7"/>
    <w:rsid w:val="00F55390"/>
    <w:rsid w:val="00F55E3A"/>
    <w:rsid w:val="00F66FBA"/>
    <w:rsid w:val="00F80426"/>
    <w:rsid w:val="00F86357"/>
    <w:rsid w:val="00F86E10"/>
    <w:rsid w:val="00F90810"/>
    <w:rsid w:val="00FA1D61"/>
    <w:rsid w:val="00FA4A18"/>
    <w:rsid w:val="00FB0704"/>
    <w:rsid w:val="00FB3FA5"/>
    <w:rsid w:val="00FB5ED2"/>
    <w:rsid w:val="00FB6B13"/>
    <w:rsid w:val="00FC7179"/>
    <w:rsid w:val="00FC73DF"/>
    <w:rsid w:val="00FD5A12"/>
    <w:rsid w:val="00FD70BE"/>
    <w:rsid w:val="00FE33A7"/>
    <w:rsid w:val="00FE6BD3"/>
    <w:rsid w:val="00FE6D7C"/>
    <w:rsid w:val="01653886"/>
    <w:rsid w:val="02867DB1"/>
    <w:rsid w:val="029729B6"/>
    <w:rsid w:val="030671D3"/>
    <w:rsid w:val="0358398D"/>
    <w:rsid w:val="041278E1"/>
    <w:rsid w:val="04A8437F"/>
    <w:rsid w:val="04B96A4C"/>
    <w:rsid w:val="069C4E79"/>
    <w:rsid w:val="06C63181"/>
    <w:rsid w:val="06C867AC"/>
    <w:rsid w:val="07610F29"/>
    <w:rsid w:val="077943D1"/>
    <w:rsid w:val="088F6118"/>
    <w:rsid w:val="0A095984"/>
    <w:rsid w:val="0A546CFD"/>
    <w:rsid w:val="0A613165"/>
    <w:rsid w:val="0AB4001B"/>
    <w:rsid w:val="0C3E7B22"/>
    <w:rsid w:val="0CA36AD7"/>
    <w:rsid w:val="0D4634C6"/>
    <w:rsid w:val="0E272251"/>
    <w:rsid w:val="0E6352A9"/>
    <w:rsid w:val="101C207C"/>
    <w:rsid w:val="109D16D1"/>
    <w:rsid w:val="11C558AC"/>
    <w:rsid w:val="12912E05"/>
    <w:rsid w:val="13021E3F"/>
    <w:rsid w:val="144349CA"/>
    <w:rsid w:val="14486024"/>
    <w:rsid w:val="15651629"/>
    <w:rsid w:val="175F4C67"/>
    <w:rsid w:val="17DF51B5"/>
    <w:rsid w:val="18604C91"/>
    <w:rsid w:val="1B81532C"/>
    <w:rsid w:val="1E181AED"/>
    <w:rsid w:val="1E9F5249"/>
    <w:rsid w:val="20BB582E"/>
    <w:rsid w:val="212165FA"/>
    <w:rsid w:val="21812D83"/>
    <w:rsid w:val="21E408A9"/>
    <w:rsid w:val="22A93AEA"/>
    <w:rsid w:val="24757970"/>
    <w:rsid w:val="24A948B4"/>
    <w:rsid w:val="24CC02EC"/>
    <w:rsid w:val="24F7727E"/>
    <w:rsid w:val="258A22AC"/>
    <w:rsid w:val="25D023DC"/>
    <w:rsid w:val="28431B9D"/>
    <w:rsid w:val="2A516DCD"/>
    <w:rsid w:val="2A9071E3"/>
    <w:rsid w:val="2AC25434"/>
    <w:rsid w:val="2D385E3D"/>
    <w:rsid w:val="2E6544B9"/>
    <w:rsid w:val="301F5880"/>
    <w:rsid w:val="306D1203"/>
    <w:rsid w:val="330E785B"/>
    <w:rsid w:val="33A72170"/>
    <w:rsid w:val="343F0843"/>
    <w:rsid w:val="3551417B"/>
    <w:rsid w:val="363E3B8C"/>
    <w:rsid w:val="36CE0F9D"/>
    <w:rsid w:val="37DC2334"/>
    <w:rsid w:val="38642B77"/>
    <w:rsid w:val="38910B5D"/>
    <w:rsid w:val="390A1721"/>
    <w:rsid w:val="3A445910"/>
    <w:rsid w:val="3C3663D5"/>
    <w:rsid w:val="3CFB4CAB"/>
    <w:rsid w:val="3D504924"/>
    <w:rsid w:val="3D6313C6"/>
    <w:rsid w:val="3DC75867"/>
    <w:rsid w:val="3DE5069A"/>
    <w:rsid w:val="3E07096A"/>
    <w:rsid w:val="3E465FAD"/>
    <w:rsid w:val="3EEF4E46"/>
    <w:rsid w:val="3FA141F3"/>
    <w:rsid w:val="3FB86017"/>
    <w:rsid w:val="3FC26E5E"/>
    <w:rsid w:val="405E2302"/>
    <w:rsid w:val="41566C15"/>
    <w:rsid w:val="42936744"/>
    <w:rsid w:val="42B70F03"/>
    <w:rsid w:val="433C53A1"/>
    <w:rsid w:val="4478041A"/>
    <w:rsid w:val="457E0411"/>
    <w:rsid w:val="473232DB"/>
    <w:rsid w:val="4763732D"/>
    <w:rsid w:val="480908C5"/>
    <w:rsid w:val="48164D90"/>
    <w:rsid w:val="48E43FA6"/>
    <w:rsid w:val="49D51330"/>
    <w:rsid w:val="4C244078"/>
    <w:rsid w:val="4D655D09"/>
    <w:rsid w:val="4DEA3D63"/>
    <w:rsid w:val="4ED107DE"/>
    <w:rsid w:val="4FC437C6"/>
    <w:rsid w:val="4FFF25AD"/>
    <w:rsid w:val="50365B27"/>
    <w:rsid w:val="505605DA"/>
    <w:rsid w:val="50C54111"/>
    <w:rsid w:val="514A216C"/>
    <w:rsid w:val="532838FB"/>
    <w:rsid w:val="535B2E50"/>
    <w:rsid w:val="548B3542"/>
    <w:rsid w:val="54FF27FC"/>
    <w:rsid w:val="56E11498"/>
    <w:rsid w:val="56E542AB"/>
    <w:rsid w:val="57861180"/>
    <w:rsid w:val="58B42698"/>
    <w:rsid w:val="59114FB0"/>
    <w:rsid w:val="5B076365"/>
    <w:rsid w:val="5B211A12"/>
    <w:rsid w:val="5B551FAD"/>
    <w:rsid w:val="5B93724D"/>
    <w:rsid w:val="5BE6216F"/>
    <w:rsid w:val="5C063EDE"/>
    <w:rsid w:val="5CD60B5E"/>
    <w:rsid w:val="5E311278"/>
    <w:rsid w:val="5E9D12A7"/>
    <w:rsid w:val="5EC77CD3"/>
    <w:rsid w:val="5F9B4B6A"/>
    <w:rsid w:val="60422D79"/>
    <w:rsid w:val="60C345CC"/>
    <w:rsid w:val="60CE074D"/>
    <w:rsid w:val="60F403E3"/>
    <w:rsid w:val="6145071A"/>
    <w:rsid w:val="61E559A8"/>
    <w:rsid w:val="65DE4CE7"/>
    <w:rsid w:val="67421678"/>
    <w:rsid w:val="67700F1C"/>
    <w:rsid w:val="6846588E"/>
    <w:rsid w:val="6A254C33"/>
    <w:rsid w:val="6D3867BF"/>
    <w:rsid w:val="6D572428"/>
    <w:rsid w:val="6D920153"/>
    <w:rsid w:val="6ECD58F9"/>
    <w:rsid w:val="733B1C68"/>
    <w:rsid w:val="74C64922"/>
    <w:rsid w:val="75DC1ED0"/>
    <w:rsid w:val="76804F78"/>
    <w:rsid w:val="77756B2D"/>
    <w:rsid w:val="77CF39A0"/>
    <w:rsid w:val="78F73403"/>
    <w:rsid w:val="7A593ECA"/>
    <w:rsid w:val="7B1072F5"/>
    <w:rsid w:val="7C590591"/>
    <w:rsid w:val="7D573FDD"/>
    <w:rsid w:val="7E6416AA"/>
    <w:rsid w:val="7F271629"/>
    <w:rsid w:val="E7B7A4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字符"/>
    <w:basedOn w:val="40"/>
    <w:link w:val="25"/>
    <w:qFormat/>
    <w:uiPriority w:val="99"/>
    <w:rPr>
      <w:sz w:val="18"/>
      <w:szCs w:val="18"/>
    </w:rPr>
  </w:style>
  <w:style w:type="character" w:customStyle="1" w:styleId="47">
    <w:name w:val="标题 1 字符"/>
    <w:basedOn w:val="40"/>
    <w:link w:val="2"/>
    <w:qFormat/>
    <w:uiPriority w:val="0"/>
    <w:rPr>
      <w:rFonts w:ascii="Times New Roman" w:hAnsi="Times New Roman" w:eastAsia="宋体" w:cs="Times New Roman"/>
      <w:b/>
      <w:bCs/>
      <w:sz w:val="28"/>
      <w:szCs w:val="24"/>
    </w:rPr>
  </w:style>
  <w:style w:type="character" w:customStyle="1" w:styleId="48">
    <w:name w:val="标题 2 字符"/>
    <w:basedOn w:val="40"/>
    <w:link w:val="3"/>
    <w:qFormat/>
    <w:uiPriority w:val="0"/>
    <w:rPr>
      <w:rFonts w:ascii="Times New Roman" w:hAnsi="Times New Roman" w:eastAsia="黑体" w:cs="Times New Roman"/>
      <w:szCs w:val="20"/>
    </w:rPr>
  </w:style>
  <w:style w:type="character" w:customStyle="1" w:styleId="49">
    <w:name w:val="标题 3 字符"/>
    <w:basedOn w:val="40"/>
    <w:link w:val="4"/>
    <w:qFormat/>
    <w:uiPriority w:val="9"/>
    <w:rPr>
      <w:rFonts w:ascii="Calibri" w:hAnsi="Calibri" w:eastAsia="宋体" w:cs="Times New Roman"/>
      <w:b/>
      <w:bCs/>
      <w:sz w:val="32"/>
      <w:szCs w:val="32"/>
    </w:rPr>
  </w:style>
  <w:style w:type="character" w:customStyle="1" w:styleId="50">
    <w:name w:val="标题 4 字符"/>
    <w:basedOn w:val="40"/>
    <w:link w:val="5"/>
    <w:qFormat/>
    <w:uiPriority w:val="0"/>
    <w:rPr>
      <w:rFonts w:ascii="Arial" w:hAnsi="Arial" w:eastAsia="黑体" w:cs="Times New Roman"/>
      <w:b/>
      <w:sz w:val="28"/>
      <w:szCs w:val="20"/>
    </w:rPr>
  </w:style>
  <w:style w:type="character" w:customStyle="1" w:styleId="51">
    <w:name w:val="标题 5 字符"/>
    <w:basedOn w:val="40"/>
    <w:link w:val="6"/>
    <w:qFormat/>
    <w:uiPriority w:val="0"/>
    <w:rPr>
      <w:rFonts w:ascii="Times New Roman" w:hAnsi="Times New Roman" w:eastAsia="黑体" w:cs="Times New Roman"/>
      <w:szCs w:val="20"/>
    </w:rPr>
  </w:style>
  <w:style w:type="character" w:customStyle="1" w:styleId="52">
    <w:name w:val="标题 6 字符"/>
    <w:basedOn w:val="40"/>
    <w:link w:val="7"/>
    <w:qFormat/>
    <w:uiPriority w:val="0"/>
    <w:rPr>
      <w:rFonts w:ascii="Arial" w:hAnsi="Arial" w:eastAsia="黑体" w:cs="Times New Roman"/>
      <w:b/>
      <w:sz w:val="24"/>
      <w:szCs w:val="20"/>
    </w:rPr>
  </w:style>
  <w:style w:type="character" w:customStyle="1" w:styleId="53">
    <w:name w:val="标题 7 字符"/>
    <w:basedOn w:val="40"/>
    <w:link w:val="8"/>
    <w:qFormat/>
    <w:uiPriority w:val="0"/>
    <w:rPr>
      <w:rFonts w:ascii="Times New Roman" w:hAnsi="Times New Roman" w:eastAsia="宋体" w:cs="Times New Roman"/>
      <w:b/>
      <w:sz w:val="24"/>
      <w:szCs w:val="20"/>
    </w:rPr>
  </w:style>
  <w:style w:type="character" w:customStyle="1" w:styleId="54">
    <w:name w:val="标题 8 字符"/>
    <w:basedOn w:val="40"/>
    <w:link w:val="9"/>
    <w:qFormat/>
    <w:uiPriority w:val="0"/>
    <w:rPr>
      <w:rFonts w:ascii="Arial" w:hAnsi="Arial" w:eastAsia="黑体" w:cs="Times New Roman"/>
      <w:sz w:val="24"/>
      <w:szCs w:val="20"/>
    </w:rPr>
  </w:style>
  <w:style w:type="character" w:customStyle="1" w:styleId="55">
    <w:name w:val="标题 9 字符"/>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字符"/>
    <w:basedOn w:val="40"/>
    <w:link w:val="27"/>
    <w:qFormat/>
    <w:uiPriority w:val="0"/>
    <w:rPr>
      <w:rFonts w:ascii="Times New Roman" w:hAnsi="Times New Roman" w:eastAsia="宋体" w:cs="Times New Roman"/>
      <w:sz w:val="18"/>
      <w:szCs w:val="18"/>
    </w:rPr>
  </w:style>
  <w:style w:type="character" w:customStyle="1" w:styleId="59">
    <w:name w:val="页脚 字符"/>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字符"/>
    <w:basedOn w:val="40"/>
    <w:link w:val="16"/>
    <w:qFormat/>
    <w:uiPriority w:val="99"/>
    <w:rPr>
      <w:rFonts w:ascii="Times New Roman" w:hAnsi="Times New Roman" w:eastAsia="宋体" w:cs="Times New Roman"/>
      <w:szCs w:val="24"/>
    </w:rPr>
  </w:style>
  <w:style w:type="character" w:customStyle="1" w:styleId="70">
    <w:name w:val="批注主题 字符"/>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字符"/>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字符"/>
    <w:basedOn w:val="40"/>
    <w:link w:val="17"/>
    <w:qFormat/>
    <w:uiPriority w:val="99"/>
    <w:rPr>
      <w:rFonts w:ascii="Times New Roman" w:hAnsi="Times New Roman" w:eastAsia="宋体" w:cs="Times New Roman"/>
      <w:szCs w:val="24"/>
    </w:rPr>
  </w:style>
  <w:style w:type="character" w:customStyle="1" w:styleId="77">
    <w:name w:val="正文文本首行缩进 字符"/>
    <w:basedOn w:val="76"/>
    <w:link w:val="37"/>
    <w:qFormat/>
    <w:uiPriority w:val="0"/>
    <w:rPr>
      <w:rFonts w:ascii="Times New Roman" w:hAnsi="Times New Roman" w:eastAsia="宋体" w:cs="Times New Roman"/>
      <w:szCs w:val="24"/>
    </w:rPr>
  </w:style>
  <w:style w:type="character" w:customStyle="1" w:styleId="78">
    <w:name w:val="题注 字符"/>
    <w:link w:val="13"/>
    <w:qFormat/>
    <w:uiPriority w:val="0"/>
    <w:rPr>
      <w:rFonts w:ascii="Cambria" w:hAnsi="Cambria" w:eastAsia="黑体" w:cs="Times New Roman"/>
      <w:sz w:val="20"/>
      <w:szCs w:val="20"/>
    </w:rPr>
  </w:style>
  <w:style w:type="character" w:customStyle="1" w:styleId="79">
    <w:name w:val="正文文本缩进 字符"/>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字符"/>
    <w:basedOn w:val="40"/>
    <w:link w:val="21"/>
    <w:qFormat/>
    <w:uiPriority w:val="0"/>
    <w:rPr>
      <w:rFonts w:ascii="宋体" w:hAnsi="Courier New" w:eastAsia="宋体" w:cs="Times New Roman"/>
      <w:szCs w:val="20"/>
    </w:rPr>
  </w:style>
  <w:style w:type="character" w:customStyle="1" w:styleId="81">
    <w:name w:val="日期 字符"/>
    <w:basedOn w:val="40"/>
    <w:link w:val="23"/>
    <w:qFormat/>
    <w:uiPriority w:val="0"/>
    <w:rPr>
      <w:rFonts w:ascii="Times New Roman" w:hAnsi="Times New Roman" w:eastAsia="宋体" w:cs="Times New Roman"/>
      <w:kern w:val="0"/>
      <w:sz w:val="28"/>
      <w:szCs w:val="24"/>
    </w:rPr>
  </w:style>
  <w:style w:type="character" w:customStyle="1" w:styleId="82">
    <w:name w:val="正文文本缩进 2 字符"/>
    <w:basedOn w:val="40"/>
    <w:link w:val="24"/>
    <w:qFormat/>
    <w:uiPriority w:val="0"/>
    <w:rPr>
      <w:rFonts w:ascii="宋体" w:hAnsi="Times New Roman" w:eastAsia="宋体" w:cs="Times New Roman"/>
      <w:kern w:val="0"/>
      <w:sz w:val="20"/>
      <w:szCs w:val="24"/>
    </w:rPr>
  </w:style>
  <w:style w:type="character" w:customStyle="1" w:styleId="83">
    <w:name w:val="正文文本缩进 3 字符"/>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字符"/>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basedOn w:val="40"/>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表段落1"/>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paragraph" w:styleId="240">
    <w:name w:val="List Paragraph"/>
    <w:basedOn w:val="1"/>
    <w:qFormat/>
    <w:uiPriority w:val="99"/>
    <w:pPr>
      <w:ind w:firstLine="420" w:firstLineChars="200"/>
    </w:pPr>
  </w:style>
  <w:style w:type="character" w:customStyle="1" w:styleId="241">
    <w:name w:val="font11"/>
    <w:basedOn w:val="4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BC9118D-E3C8-4296-9CE8-4F0420B71EB2}">
  <ds:schemaRefs/>
</ds:datastoreItem>
</file>

<file path=docProps/app.xml><?xml version="1.0" encoding="utf-8"?>
<Properties xmlns="http://schemas.openxmlformats.org/officeDocument/2006/extended-properties" xmlns:vt="http://schemas.openxmlformats.org/officeDocument/2006/docPropsVTypes">
  <Company>jngd</Company>
  <Pages>9</Pages>
  <Words>2276</Words>
  <Characters>2559</Characters>
  <Lines>68</Lines>
  <Paragraphs>19</Paragraphs>
  <TotalTime>3</TotalTime>
  <ScaleCrop>false</ScaleCrop>
  <LinksUpToDate>false</LinksUpToDate>
  <CharactersWithSpaces>2660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2025-03-10T14:55:00Z</dcterms:created>
  <dc:creator>wuzx</dc:creator>
  <cp:lastModifiedBy>Jimmy</cp:lastModifiedBy>
  <cp:lastPrinted>2016-03-16T08:55:00Z</cp:lastPrinted>
  <dcterms:modified xsi:type="dcterms:W3CDTF">2025-03-19T14:08:09Z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