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5A88E2">
      <w:pPr>
        <w:spacing w:line="360" w:lineRule="auto"/>
        <w:ind w:firstLine="261" w:firstLineChars="50"/>
        <w:jc w:val="center"/>
        <w:rPr>
          <w:rFonts w:hint="eastAsia" w:ascii="宋体" w:hAnsi="宋体"/>
          <w:b/>
          <w:sz w:val="52"/>
        </w:rPr>
      </w:pPr>
      <w:r>
        <w:rPr>
          <w:rFonts w:hint="eastAsia" w:ascii="宋体" w:hAnsi="宋体"/>
          <w:b/>
          <w:sz w:val="52"/>
        </w:rPr>
        <w:t>许昌智能继电器股份有限公司</w:t>
      </w:r>
    </w:p>
    <w:p w14:paraId="031027F2">
      <w:pPr>
        <w:spacing w:line="360" w:lineRule="auto"/>
        <w:jc w:val="center"/>
        <w:rPr>
          <w:rFonts w:hint="default" w:ascii="宋体" w:hAnsi="宋体"/>
          <w:b/>
          <w:sz w:val="48"/>
          <w:szCs w:val="48"/>
          <w:u w:val="single"/>
          <w:lang w:val="en-US"/>
        </w:rPr>
      </w:pPr>
      <w:r>
        <w:rPr>
          <w:rFonts w:hint="eastAsia" w:ascii="宋体" w:hAnsi="宋体"/>
          <w:b/>
          <w:sz w:val="52"/>
          <w:lang w:val="en-US" w:eastAsia="zh-CN"/>
        </w:rPr>
        <w:t>2025年度开关电源</w:t>
      </w:r>
    </w:p>
    <w:p w14:paraId="6DB77608">
      <w:pPr>
        <w:spacing w:line="360" w:lineRule="auto"/>
        <w:ind w:firstLine="261" w:firstLineChars="50"/>
        <w:jc w:val="center"/>
        <w:rPr>
          <w:rFonts w:hint="eastAsia" w:ascii="宋体" w:hAnsi="宋体"/>
          <w:b/>
          <w:sz w:val="48"/>
          <w:szCs w:val="48"/>
          <w:u w:val="single"/>
        </w:rPr>
      </w:pPr>
      <w:r>
        <w:rPr>
          <w:rFonts w:hint="eastAsia" w:ascii="宋体" w:hAnsi="宋体"/>
          <w:b/>
          <w:sz w:val="52"/>
        </w:rPr>
        <w:t>物资采购项目</w:t>
      </w:r>
    </w:p>
    <w:p w14:paraId="415A10A7">
      <w:pPr>
        <w:spacing w:line="360" w:lineRule="auto"/>
        <w:jc w:val="center"/>
        <w:rPr>
          <w:rFonts w:ascii="宋体"/>
          <w:b/>
          <w:sz w:val="48"/>
          <w:szCs w:val="48"/>
        </w:rPr>
      </w:pPr>
    </w:p>
    <w:p w14:paraId="6DA49308">
      <w:pPr>
        <w:spacing w:line="360" w:lineRule="auto"/>
        <w:jc w:val="center"/>
        <w:rPr>
          <w:rFonts w:hint="eastAsia" w:ascii="宋体" w:hAnsi="宋体"/>
          <w:b/>
          <w:sz w:val="48"/>
          <w:szCs w:val="48"/>
        </w:rPr>
      </w:pPr>
    </w:p>
    <w:p w14:paraId="3987836C">
      <w:pPr>
        <w:spacing w:line="360" w:lineRule="auto"/>
        <w:jc w:val="center"/>
        <w:rPr>
          <w:rFonts w:ascii="宋体"/>
          <w:b/>
          <w:sz w:val="48"/>
          <w:szCs w:val="48"/>
        </w:rPr>
      </w:pPr>
      <w:r>
        <w:rPr>
          <w:rFonts w:hint="eastAsia" w:ascii="宋体"/>
          <w:b/>
          <w:sz w:val="48"/>
          <w:szCs w:val="48"/>
        </w:rPr>
        <w:t>技</w:t>
      </w:r>
    </w:p>
    <w:p w14:paraId="1F48F459">
      <w:pPr>
        <w:spacing w:line="360" w:lineRule="auto"/>
        <w:jc w:val="center"/>
        <w:rPr>
          <w:rFonts w:ascii="宋体"/>
          <w:b/>
          <w:sz w:val="48"/>
          <w:szCs w:val="48"/>
        </w:rPr>
      </w:pPr>
      <w:r>
        <w:rPr>
          <w:rFonts w:hint="eastAsia" w:ascii="宋体"/>
          <w:b/>
          <w:sz w:val="48"/>
          <w:szCs w:val="48"/>
        </w:rPr>
        <w:t>术</w:t>
      </w:r>
    </w:p>
    <w:p w14:paraId="7254F982">
      <w:pPr>
        <w:spacing w:line="360" w:lineRule="auto"/>
        <w:jc w:val="center"/>
        <w:rPr>
          <w:rFonts w:hint="eastAsia" w:ascii="宋体"/>
          <w:b/>
          <w:sz w:val="48"/>
          <w:szCs w:val="48"/>
          <w:lang w:val="en-US" w:eastAsia="zh-CN"/>
        </w:rPr>
      </w:pPr>
      <w:r>
        <w:rPr>
          <w:rFonts w:hint="eastAsia" w:ascii="宋体"/>
          <w:b/>
          <w:sz w:val="48"/>
          <w:szCs w:val="48"/>
          <w:lang w:val="en-US" w:eastAsia="zh-CN"/>
        </w:rPr>
        <w:t>规</w:t>
      </w:r>
    </w:p>
    <w:p w14:paraId="5A6337A1">
      <w:pPr>
        <w:spacing w:line="360" w:lineRule="auto"/>
        <w:jc w:val="center"/>
        <w:rPr>
          <w:rFonts w:hint="eastAsia" w:ascii="宋体"/>
          <w:b/>
          <w:sz w:val="48"/>
          <w:szCs w:val="48"/>
          <w:lang w:val="en-US" w:eastAsia="zh-CN"/>
        </w:rPr>
      </w:pPr>
      <w:r>
        <w:rPr>
          <w:rFonts w:hint="eastAsia" w:ascii="宋体"/>
          <w:b/>
          <w:sz w:val="48"/>
          <w:szCs w:val="48"/>
          <w:lang w:val="en-US" w:eastAsia="zh-CN"/>
        </w:rPr>
        <w:t>范</w:t>
      </w:r>
    </w:p>
    <w:p w14:paraId="0468698B">
      <w:pPr>
        <w:spacing w:line="360" w:lineRule="auto"/>
        <w:jc w:val="center"/>
        <w:rPr>
          <w:rFonts w:ascii="宋体"/>
          <w:b/>
          <w:sz w:val="48"/>
          <w:szCs w:val="48"/>
        </w:rPr>
      </w:pPr>
      <w:r>
        <w:rPr>
          <w:rFonts w:hint="eastAsia" w:ascii="宋体"/>
          <w:b/>
          <w:sz w:val="48"/>
          <w:szCs w:val="48"/>
          <w:lang w:val="en-US" w:eastAsia="zh-CN"/>
        </w:rPr>
        <w:t>书</w:t>
      </w:r>
    </w:p>
    <w:p w14:paraId="79F61E1C">
      <w:pPr>
        <w:jc w:val="center"/>
        <w:rPr>
          <w:rFonts w:ascii="宋体" w:hAnsi="宋体"/>
          <w:b/>
          <w:sz w:val="48"/>
          <w:szCs w:val="48"/>
        </w:rPr>
      </w:pPr>
    </w:p>
    <w:p w14:paraId="20A17B38">
      <w:pPr>
        <w:jc w:val="center"/>
        <w:rPr>
          <w:rFonts w:ascii="宋体" w:hAnsi="宋体" w:cs="宋体"/>
          <w:sz w:val="22"/>
          <w:szCs w:val="22"/>
        </w:rPr>
      </w:pPr>
    </w:p>
    <w:p w14:paraId="109C83FF">
      <w:pPr>
        <w:spacing w:line="360" w:lineRule="auto"/>
        <w:jc w:val="center"/>
        <w:rPr>
          <w:rFonts w:ascii="方正小标宋简体" w:eastAsia="方正小标宋简体"/>
          <w:sz w:val="72"/>
          <w:szCs w:val="72"/>
        </w:rPr>
      </w:pPr>
    </w:p>
    <w:p w14:paraId="59D47D18">
      <w:pPr>
        <w:spacing w:line="360" w:lineRule="auto"/>
        <w:jc w:val="center"/>
        <w:rPr>
          <w:rFonts w:ascii="方正小标宋简体" w:eastAsia="方正小标宋简体"/>
          <w:sz w:val="72"/>
          <w:szCs w:val="72"/>
        </w:rPr>
      </w:pPr>
      <w:r>
        <w:rPr>
          <w:rFonts w:hint="eastAsia" w:ascii="方正小标宋简体" w:eastAsia="方正小标宋简体"/>
          <w:sz w:val="72"/>
          <w:szCs w:val="72"/>
        </w:rPr>
        <w:t>招标文件</w:t>
      </w:r>
    </w:p>
    <w:p w14:paraId="0C5C4A2D">
      <w:pPr>
        <w:pStyle w:val="56"/>
        <w:spacing w:before="560" w:after="560" w:line="240" w:lineRule="auto"/>
        <w:rPr>
          <w:rFonts w:asciiTheme="minorEastAsia" w:hAnsiTheme="minorEastAsia" w:eastAsiaTheme="minorEastAsia"/>
          <w:b/>
          <w:sz w:val="36"/>
          <w:szCs w:val="36"/>
        </w:rPr>
        <w:sectPr>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b/>
          <w:sz w:val="36"/>
          <w:szCs w:val="36"/>
        </w:rPr>
        <w:t>2025年0</w:t>
      </w:r>
      <w:r>
        <w:rPr>
          <w:rFonts w:asciiTheme="minorEastAsia" w:hAnsiTheme="minorEastAsia" w:eastAsiaTheme="minorEastAsia"/>
          <w:b/>
          <w:sz w:val="36"/>
          <w:szCs w:val="36"/>
        </w:rPr>
        <w:t>3</w:t>
      </w:r>
      <w:r>
        <w:rPr>
          <w:rFonts w:hint="eastAsia" w:asciiTheme="minorEastAsia" w:hAnsiTheme="minorEastAsia" w:eastAsiaTheme="minorEastAsia"/>
          <w:b/>
          <w:sz w:val="36"/>
          <w:szCs w:val="36"/>
        </w:rPr>
        <w:t>月</w:t>
      </w:r>
    </w:p>
    <w:p w14:paraId="2B13B42A">
      <w:pPr>
        <w:pStyle w:val="223"/>
        <w:jc w:val="center"/>
        <w:rPr>
          <w:rFonts w:asciiTheme="minorEastAsia" w:hAnsiTheme="minorEastAsia" w:eastAsiaTheme="minorEastAsia"/>
          <w:b w:val="0"/>
          <w:sz w:val="36"/>
          <w:szCs w:val="36"/>
        </w:rPr>
      </w:pPr>
      <w:r>
        <w:rPr>
          <w:rFonts w:hint="eastAsia" w:asciiTheme="minorEastAsia" w:hAnsiTheme="minorEastAsia" w:eastAsiaTheme="minorEastAsia"/>
          <w:b w:val="0"/>
          <w:sz w:val="36"/>
          <w:szCs w:val="36"/>
        </w:rPr>
        <w:t>目  录</w:t>
      </w:r>
    </w:p>
    <w:sdt>
      <w:sdtPr>
        <w:rPr>
          <w:lang w:val="zh-CN"/>
        </w:rPr>
        <w:id w:val="26966365"/>
      </w:sdtPr>
      <w:sdtEndPr>
        <w:rPr>
          <w:lang w:val="zh-CN"/>
        </w:rPr>
      </w:sdtEndPr>
      <w:sdtContent>
        <w:p w14:paraId="6E572373">
          <w:pPr>
            <w:widowControl/>
            <w:jc w:val="center"/>
          </w:pPr>
        </w:p>
        <w:p w14:paraId="6B4F0025">
          <w:pPr>
            <w:pStyle w:val="28"/>
            <w:tabs>
              <w:tab w:val="right" w:leader="dot" w:pos="8296"/>
            </w:tabs>
            <w:ind w:firstLine="420"/>
            <w:rPr>
              <w:rFonts w:asciiTheme="minorHAnsi" w:hAnsiTheme="minorHAnsi" w:eastAsiaTheme="minorEastAsia" w:cstheme="minorBidi"/>
              <w:b w:val="0"/>
              <w:bCs w:val="0"/>
              <w:caps w:val="0"/>
              <w:sz w:val="21"/>
              <w:szCs w:val="22"/>
            </w:rPr>
          </w:pPr>
          <w:r>
            <w:rPr>
              <w:b w:val="0"/>
              <w:sz w:val="21"/>
              <w:szCs w:val="21"/>
            </w:rPr>
            <w:fldChar w:fldCharType="begin"/>
          </w:r>
          <w:r>
            <w:rPr>
              <w:b w:val="0"/>
              <w:sz w:val="21"/>
              <w:szCs w:val="21"/>
            </w:rPr>
            <w:instrText xml:space="preserve"> TOC \o "1-3" \h \z \u </w:instrText>
          </w:r>
          <w:r>
            <w:rPr>
              <w:b w:val="0"/>
              <w:sz w:val="21"/>
              <w:szCs w:val="21"/>
            </w:rPr>
            <w:fldChar w:fldCharType="separate"/>
          </w:r>
          <w:r>
            <w:fldChar w:fldCharType="begin"/>
          </w:r>
          <w:r>
            <w:instrText xml:space="preserve"> HYPERLINK \l "_Toc438720041" </w:instrText>
          </w:r>
          <w:r>
            <w:fldChar w:fldCharType="separate"/>
          </w:r>
          <w:r>
            <w:rPr>
              <w:rStyle w:val="44"/>
            </w:rPr>
            <w:t>1</w:t>
          </w:r>
          <w:r>
            <w:rPr>
              <w:rStyle w:val="44"/>
              <w:rFonts w:hint="eastAsia"/>
            </w:rPr>
            <w:t>　范围</w:t>
          </w:r>
          <w:r>
            <w:tab/>
          </w:r>
          <w:r>
            <w:fldChar w:fldCharType="begin"/>
          </w:r>
          <w:r>
            <w:instrText xml:space="preserve"> PAGEREF _Toc438720041 \h </w:instrText>
          </w:r>
          <w:r>
            <w:fldChar w:fldCharType="separate"/>
          </w:r>
          <w:r>
            <w:t>3</w:t>
          </w:r>
          <w:r>
            <w:fldChar w:fldCharType="end"/>
          </w:r>
          <w:r>
            <w:fldChar w:fldCharType="end"/>
          </w:r>
        </w:p>
        <w:p w14:paraId="0ACCE6BB">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"_Toc438720042" </w:instrText>
          </w:r>
          <w:r>
            <w:fldChar w:fldCharType="separate"/>
          </w:r>
          <w:r>
            <w:rPr>
              <w:rStyle w:val="44"/>
            </w:rPr>
            <w:t>2</w:t>
          </w:r>
          <w:r>
            <w:rPr>
              <w:rStyle w:val="44"/>
              <w:rFonts w:hint="eastAsia"/>
            </w:rPr>
            <w:t>　规范性引用文件</w:t>
          </w:r>
          <w:r>
            <w:tab/>
          </w:r>
          <w:r>
            <w:fldChar w:fldCharType="begin"/>
          </w:r>
          <w:r>
            <w:instrText xml:space="preserve"> PAGEREF _Toc438720042 \h </w:instrText>
          </w:r>
          <w:r>
            <w:fldChar w:fldCharType="separate"/>
          </w:r>
          <w:r>
            <w:t>3</w:t>
          </w:r>
          <w:r>
            <w:fldChar w:fldCharType="end"/>
          </w:r>
          <w:r>
            <w:fldChar w:fldCharType="end"/>
          </w:r>
        </w:p>
        <w:p w14:paraId="31F6BAA4">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"_Toc438720043" </w:instrText>
          </w:r>
          <w:r>
            <w:fldChar w:fldCharType="separate"/>
          </w:r>
          <w:r>
            <w:rPr>
              <w:rStyle w:val="44"/>
            </w:rPr>
            <w:t>3</w:t>
          </w:r>
          <w:r>
            <w:rPr>
              <w:rStyle w:val="44"/>
              <w:rFonts w:hint="eastAsia"/>
            </w:rPr>
            <w:t>　术语和定义</w:t>
          </w:r>
          <w:r>
            <w:tab/>
          </w:r>
          <w:r>
            <w:fldChar w:fldCharType="begin"/>
          </w:r>
          <w:r>
            <w:instrText xml:space="preserve"> PAGEREF _Toc438720043 \h </w:instrText>
          </w:r>
          <w:r>
            <w:fldChar w:fldCharType="separate"/>
          </w:r>
          <w:r>
            <w:t>3</w:t>
          </w:r>
          <w:r>
            <w:fldChar w:fldCharType="end"/>
          </w:r>
          <w:r>
            <w:fldChar w:fldCharType="end"/>
          </w:r>
        </w:p>
        <w:p w14:paraId="62F03A06">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"_Toc438720044" </w:instrText>
          </w:r>
          <w:r>
            <w:fldChar w:fldCharType="separate"/>
          </w:r>
          <w:r>
            <w:rPr>
              <w:rStyle w:val="44"/>
            </w:rPr>
            <w:t>4</w:t>
          </w:r>
          <w:r>
            <w:rPr>
              <w:rStyle w:val="44"/>
              <w:rFonts w:hint="eastAsia"/>
            </w:rPr>
            <w:t>　总则</w:t>
          </w:r>
          <w:r>
            <w:tab/>
          </w:r>
          <w:r>
            <w:fldChar w:fldCharType="begin"/>
          </w:r>
          <w:r>
            <w:instrText xml:space="preserve"> PAGEREF _Toc438720044 \h </w:instrText>
          </w:r>
          <w:r>
            <w:fldChar w:fldCharType="separate"/>
          </w:r>
          <w:r>
            <w:t>3</w:t>
          </w:r>
          <w:r>
            <w:fldChar w:fldCharType="end"/>
          </w:r>
          <w:r>
            <w:fldChar w:fldCharType="end"/>
          </w:r>
        </w:p>
        <w:p w14:paraId="39A4C763">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"_Toc438720045" </w:instrText>
          </w:r>
          <w:r>
            <w:fldChar w:fldCharType="separate"/>
          </w:r>
          <w:r>
            <w:rPr>
              <w:rStyle w:val="44"/>
            </w:rPr>
            <w:t>5</w:t>
          </w:r>
          <w:r>
            <w:rPr>
              <w:rStyle w:val="44"/>
              <w:rFonts w:hint="eastAsia"/>
            </w:rPr>
            <w:t>　技术参数和性能要求</w:t>
          </w:r>
          <w:r>
            <w:tab/>
          </w:r>
          <w:r>
            <w:fldChar w:fldCharType="begin"/>
          </w:r>
          <w:r>
            <w:instrText xml:space="preserve"> PAGEREF _Toc438720045 \h </w:instrText>
          </w:r>
          <w:r>
            <w:fldChar w:fldCharType="separate"/>
          </w:r>
          <w:r>
            <w:t>5</w:t>
          </w:r>
          <w:r>
            <w:fldChar w:fldCharType="end"/>
          </w:r>
          <w:r>
            <w:fldChar w:fldCharType="end"/>
          </w:r>
        </w:p>
        <w:p w14:paraId="22F55A2A">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"_Toc438720046" </w:instrText>
          </w:r>
          <w:r>
            <w:fldChar w:fldCharType="separate"/>
          </w:r>
          <w:r>
            <w:rPr>
              <w:rStyle w:val="44"/>
            </w:rPr>
            <w:t>6</w:t>
          </w:r>
          <w:r>
            <w:rPr>
              <w:rStyle w:val="44"/>
              <w:rFonts w:hint="eastAsia"/>
            </w:rPr>
            <w:t>　试验</w:t>
          </w:r>
          <w:r>
            <w:tab/>
          </w:r>
          <w:r>
            <w:fldChar w:fldCharType="begin"/>
          </w:r>
          <w:r>
            <w:instrText xml:space="preserve"> PAGEREF _Toc438720046 \h </w:instrText>
          </w:r>
          <w:r>
            <w:fldChar w:fldCharType="separate"/>
          </w:r>
          <w:r>
            <w:t>10</w:t>
          </w:r>
          <w:r>
            <w:fldChar w:fldCharType="end"/>
          </w:r>
          <w:r>
            <w:fldChar w:fldCharType="end"/>
          </w:r>
        </w:p>
        <w:p w14:paraId="2084D65A">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"_Toc438720047" </w:instrText>
          </w:r>
          <w:r>
            <w:fldChar w:fldCharType="separate"/>
          </w:r>
          <w:r>
            <w:rPr>
              <w:rStyle w:val="44"/>
            </w:rPr>
            <w:t>7</w:t>
          </w:r>
          <w:r>
            <w:rPr>
              <w:rStyle w:val="44"/>
              <w:rFonts w:hint="eastAsia"/>
            </w:rPr>
            <w:t>　技术服务、工厂检验</w:t>
          </w:r>
          <w:r>
            <w:tab/>
          </w:r>
          <w:r>
            <w:fldChar w:fldCharType="begin"/>
          </w:r>
          <w:r>
            <w:instrText xml:space="preserve"> PAGEREF _Toc438720047 \h </w:instrText>
          </w:r>
          <w:r>
            <w:fldChar w:fldCharType="separate"/>
          </w:r>
          <w:r>
            <w:t>10</w:t>
          </w:r>
          <w:r>
            <w:fldChar w:fldCharType="end"/>
          </w:r>
          <w:r>
            <w:fldChar w:fldCharType="end"/>
          </w:r>
        </w:p>
        <w:p w14:paraId="26C84D82">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"_Toc438720048" </w:instrText>
          </w:r>
          <w:r>
            <w:fldChar w:fldCharType="separate"/>
          </w:r>
          <w:r>
            <w:rPr>
              <w:rStyle w:val="44"/>
            </w:rPr>
            <w:t>8</w:t>
          </w:r>
          <w:r>
            <w:rPr>
              <w:rStyle w:val="44"/>
              <w:rFonts w:hint="eastAsia"/>
            </w:rPr>
            <w:t>　报价表</w:t>
          </w:r>
          <w:r>
            <w:tab/>
          </w:r>
          <w:r>
            <w:fldChar w:fldCharType="begin"/>
          </w:r>
          <w:r>
            <w:instrText xml:space="preserve"> PAGEREF _Toc438720048 \h </w:instrText>
          </w:r>
          <w:r>
            <w:fldChar w:fldCharType="separate"/>
          </w:r>
          <w:r>
            <w:t>11</w:t>
          </w:r>
          <w:r>
            <w:fldChar w:fldCharType="end"/>
          </w:r>
          <w:r>
            <w:fldChar w:fldCharType="end"/>
          </w:r>
        </w:p>
        <w:p w14:paraId="2DF6AE14">
          <w:pPr>
            <w:adjustRightInd w:val="0"/>
            <w:snapToGrid w:val="0"/>
          </w:pPr>
          <w:r>
            <w:rPr>
              <w:szCs w:val="21"/>
            </w:rPr>
            <w:fldChar w:fldCharType="end"/>
          </w:r>
        </w:p>
      </w:sdtContent>
    </w:sdt>
    <w:p w14:paraId="756B00D8">
      <w:pPr>
        <w:widowControl/>
        <w:jc w:val="center"/>
        <w:rPr>
          <w:rFonts w:asciiTheme="minorEastAsia" w:hAnsiTheme="minorEastAsia" w:eastAsiaTheme="minorEastAsia"/>
          <w:b/>
          <w:sz w:val="36"/>
          <w:szCs w:val="36"/>
        </w:rPr>
      </w:pPr>
    </w:p>
    <w:p w14:paraId="1B60A2A9">
      <w:pPr>
        <w:widowControl/>
        <w:jc w:val="left"/>
        <w:rPr>
          <w:rFonts w:eastAsia="黑体"/>
          <w:kern w:val="0"/>
          <w:sz w:val="32"/>
          <w:szCs w:val="20"/>
        </w:rPr>
        <w:sectPr>
          <w:pgSz w:w="11906" w:h="16838"/>
          <w:pgMar w:top="1440" w:right="1800" w:bottom="1440" w:left="1800" w:header="851" w:footer="992" w:gutter="0"/>
          <w:cols w:space="720" w:num="1"/>
          <w:docGrid w:type="lines" w:linePitch="312" w:charSpace="0"/>
        </w:sectPr>
      </w:pPr>
    </w:p>
    <w:p w14:paraId="18238B4D">
      <w:pPr>
        <w:pStyle w:val="61"/>
        <w:outlineLvl w:val="0"/>
      </w:pPr>
      <w:bookmarkStart w:id="0" w:name="_Toc396866892"/>
      <w:bookmarkStart w:id="1" w:name="_Toc344384427"/>
      <w:bookmarkStart w:id="2" w:name="_Toc355884468"/>
      <w:bookmarkStart w:id="3" w:name="_Toc438720041"/>
      <w:r>
        <w:rPr>
          <w:rFonts w:hint="eastAsia"/>
        </w:rPr>
        <w:t>1　范围</w:t>
      </w:r>
      <w:bookmarkEnd w:id="0"/>
      <w:bookmarkEnd w:id="1"/>
      <w:bookmarkEnd w:id="2"/>
      <w:bookmarkEnd w:id="3"/>
    </w:p>
    <w:p w14:paraId="7B1A3015">
      <w:pPr>
        <w:topLinePunct/>
        <w:spacing w:line="326" w:lineRule="exact"/>
        <w:ind w:firstLine="420"/>
        <w:rPr>
          <w:snapToGrid w:val="0"/>
          <w:szCs w:val="21"/>
        </w:rPr>
      </w:pPr>
      <w:r>
        <w:rPr>
          <w:rFonts w:hint="eastAsia"/>
          <w:snapToGrid w:val="0"/>
          <w:szCs w:val="21"/>
        </w:rPr>
        <w:t>本部分规定了</w:t>
      </w:r>
      <w:r>
        <w:rPr>
          <w:rFonts w:hint="eastAsia"/>
          <w:snapToGrid w:val="0"/>
          <w:szCs w:val="21"/>
          <w:lang w:eastAsia="zh-CN"/>
        </w:rPr>
        <w:t>常用开关电源</w:t>
      </w:r>
      <w:r>
        <w:rPr>
          <w:rFonts w:hint="eastAsia"/>
          <w:snapToGrid w:val="0"/>
          <w:szCs w:val="21"/>
        </w:rPr>
        <w:t>招标的总则、技术参数和性能要求、试验、包装、运输、交货及工厂检验和监造的一般要求。</w:t>
      </w:r>
    </w:p>
    <w:p w14:paraId="20DA26F8">
      <w:pPr>
        <w:topLinePunct/>
        <w:spacing w:line="326" w:lineRule="exact"/>
        <w:ind w:firstLine="420"/>
        <w:rPr>
          <w:snapToGrid w:val="0"/>
          <w:szCs w:val="21"/>
        </w:rPr>
      </w:pPr>
      <w:r>
        <w:rPr>
          <w:rFonts w:hint="eastAsia"/>
          <w:snapToGrid w:val="0"/>
          <w:szCs w:val="21"/>
        </w:rPr>
        <w:t>本部分适用于</w:t>
      </w:r>
      <w:r>
        <w:rPr>
          <w:rFonts w:hint="eastAsia"/>
          <w:snapToGrid w:val="0"/>
          <w:szCs w:val="21"/>
          <w:lang w:eastAsia="zh-CN"/>
        </w:rPr>
        <w:t>常用开关电源</w:t>
      </w:r>
      <w:r>
        <w:rPr>
          <w:rFonts w:hint="eastAsia"/>
          <w:snapToGrid w:val="0"/>
          <w:szCs w:val="21"/>
        </w:rPr>
        <w:t>的招标。</w:t>
      </w:r>
    </w:p>
    <w:p w14:paraId="0B03C3C4">
      <w:pPr>
        <w:pStyle w:val="61"/>
        <w:outlineLvl w:val="0"/>
      </w:pPr>
      <w:bookmarkStart w:id="4" w:name="_Toc438720042"/>
      <w:r>
        <w:rPr>
          <w:rFonts w:hint="eastAsia"/>
        </w:rPr>
        <w:t>2　规范性引用文件</w:t>
      </w:r>
      <w:bookmarkEnd w:id="4"/>
    </w:p>
    <w:p w14:paraId="6C285EF8">
      <w:pPr>
        <w:topLinePunct/>
        <w:spacing w:line="326" w:lineRule="exact"/>
        <w:ind w:firstLine="420"/>
        <w:rPr>
          <w:snapToGrid w:val="0"/>
          <w:szCs w:val="21"/>
        </w:rPr>
      </w:pPr>
      <w:r>
        <w:rPr>
          <w:rFonts w:hint="eastAsia"/>
          <w:snapToGrid w:val="0"/>
          <w:szCs w:val="21"/>
        </w:rPr>
        <w:t>下列文件对于本文件的应用是必不可少的。凡是注日期的引用文件，仅注日期的版本适用于本文件。凡是不注日期的引用文件，其最新版本（包括所有的修改单）适用于本文件。</w:t>
      </w:r>
    </w:p>
    <w:p w14:paraId="6B33B6C7">
      <w:pPr>
        <w:topLinePunct/>
        <w:spacing w:line="326" w:lineRule="exact"/>
        <w:ind w:firstLine="420"/>
        <w:rPr>
          <w:snapToGrid w:val="0"/>
          <w:szCs w:val="21"/>
        </w:rPr>
      </w:pPr>
    </w:p>
    <w:p w14:paraId="1D660211">
      <w:pPr>
        <w:keepNext w:val="0"/>
        <w:keepLines w:val="0"/>
        <w:widowControl/>
        <w:suppressLineNumbers w:val="0"/>
        <w:jc w:val="left"/>
        <w:rPr>
          <w:rFonts w:hint="eastAsia" w:ascii="宋体" w:hAnsi="宋体" w:eastAsia="宋体" w:cs="宋体"/>
          <w:color w:val="000000"/>
          <w:kern w:val="0"/>
          <w:sz w:val="21"/>
          <w:szCs w:val="21"/>
          <w:lang w:val="en-US" w:eastAsia="zh-CN" w:bidi="ar"/>
        </w:rPr>
      </w:pPr>
      <w:bookmarkStart w:id="5" w:name="_Toc438720043"/>
      <w:r>
        <w:rPr>
          <w:rFonts w:hint="default" w:ascii="Times New Roman" w:hAnsi="Times New Roman" w:eastAsia="宋体" w:cs="Times New Roman"/>
          <w:color w:val="000000"/>
          <w:kern w:val="0"/>
          <w:sz w:val="21"/>
          <w:szCs w:val="21"/>
          <w:lang w:val="en-US" w:eastAsia="zh-CN" w:bidi="ar"/>
        </w:rPr>
        <w:t xml:space="preserve">EMI </w:t>
      </w:r>
      <w:r>
        <w:rPr>
          <w:rFonts w:hint="eastAsia" w:ascii="宋体" w:hAnsi="宋体" w:eastAsia="宋体" w:cs="宋体"/>
          <w:color w:val="000000"/>
          <w:kern w:val="0"/>
          <w:sz w:val="21"/>
          <w:szCs w:val="21"/>
          <w:lang w:val="en-US" w:eastAsia="zh-CN" w:bidi="ar"/>
        </w:rPr>
        <w:t xml:space="preserve">符合 </w:t>
      </w:r>
      <w:r>
        <w:rPr>
          <w:rFonts w:hint="default" w:ascii="Times New Roman" w:hAnsi="Times New Roman" w:eastAsia="宋体" w:cs="Times New Roman"/>
          <w:color w:val="000000"/>
          <w:kern w:val="0"/>
          <w:sz w:val="21"/>
          <w:szCs w:val="21"/>
          <w:lang w:val="en-US" w:eastAsia="zh-CN" w:bidi="ar"/>
        </w:rPr>
        <w:t>GB/T 9254-1998（CISPR22B）</w:t>
      </w:r>
      <w:r>
        <w:rPr>
          <w:rFonts w:hint="eastAsia" w:ascii="宋体" w:hAnsi="宋体" w:eastAsia="宋体" w:cs="宋体"/>
          <w:color w:val="000000"/>
          <w:kern w:val="0"/>
          <w:sz w:val="21"/>
          <w:szCs w:val="21"/>
          <w:lang w:val="en-US" w:eastAsia="zh-CN" w:bidi="ar"/>
        </w:rPr>
        <w:t>有关要求；</w:t>
      </w:r>
    </w:p>
    <w:p w14:paraId="77624939">
      <w:pPr>
        <w:keepNext w:val="0"/>
        <w:keepLines w:val="0"/>
        <w:widowControl/>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抗群脉冲能力：</w:t>
      </w:r>
      <w:r>
        <w:rPr>
          <w:rFonts w:hint="default" w:ascii="宋体" w:hAnsi="宋体" w:eastAsia="宋体" w:cs="宋体"/>
          <w:color w:val="000000"/>
          <w:kern w:val="0"/>
          <w:sz w:val="21"/>
          <w:szCs w:val="21"/>
          <w:lang w:val="en-US" w:eastAsia="zh-CN" w:bidi="ar"/>
        </w:rPr>
        <w:t xml:space="preserve">4 </w:t>
      </w:r>
      <w:r>
        <w:rPr>
          <w:rFonts w:hint="eastAsia" w:ascii="宋体" w:hAnsi="宋体" w:eastAsia="宋体" w:cs="宋体"/>
          <w:color w:val="000000"/>
          <w:kern w:val="0"/>
          <w:sz w:val="21"/>
          <w:szCs w:val="21"/>
          <w:lang w:val="en-US" w:eastAsia="zh-CN" w:bidi="ar"/>
        </w:rPr>
        <w:t>级</w:t>
      </w:r>
      <w:r>
        <w:rPr>
          <w:rFonts w:hint="default" w:ascii="Times New Roman" w:hAnsi="Times New Roman" w:eastAsia="宋体" w:cs="Times New Roman"/>
          <w:color w:val="000000"/>
          <w:kern w:val="0"/>
          <w:sz w:val="21"/>
          <w:szCs w:val="21"/>
          <w:lang w:val="en-US" w:eastAsia="zh-CN" w:bidi="ar"/>
        </w:rPr>
        <w:t>（GB/T 17626.4 –2008）</w:t>
      </w:r>
      <w:r>
        <w:rPr>
          <w:rFonts w:hint="eastAsia" w:ascii="宋体" w:hAnsi="宋体" w:eastAsia="宋体" w:cs="宋体"/>
          <w:color w:val="000000"/>
          <w:kern w:val="0"/>
          <w:sz w:val="21"/>
          <w:szCs w:val="21"/>
          <w:lang w:val="en-US" w:eastAsia="zh-CN" w:bidi="ar"/>
        </w:rPr>
        <w:t>；</w:t>
      </w:r>
    </w:p>
    <w:p w14:paraId="0D279049">
      <w:pPr>
        <w:keepNext w:val="0"/>
        <w:keepLines w:val="0"/>
        <w:widowControl/>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抗浪涌能力：</w:t>
      </w:r>
      <w:r>
        <w:rPr>
          <w:rFonts w:hint="default" w:ascii="宋体" w:hAnsi="宋体" w:eastAsia="宋体" w:cs="宋体"/>
          <w:color w:val="000000"/>
          <w:kern w:val="0"/>
          <w:sz w:val="21"/>
          <w:szCs w:val="21"/>
          <w:lang w:val="en-US" w:eastAsia="zh-CN" w:bidi="ar"/>
        </w:rPr>
        <w:t xml:space="preserve"> 4 </w:t>
      </w:r>
      <w:r>
        <w:rPr>
          <w:rFonts w:hint="eastAsia" w:ascii="宋体" w:hAnsi="宋体" w:eastAsia="宋体" w:cs="宋体"/>
          <w:color w:val="000000"/>
          <w:kern w:val="0"/>
          <w:sz w:val="21"/>
          <w:szCs w:val="21"/>
          <w:lang w:val="en-US" w:eastAsia="zh-CN" w:bidi="ar"/>
        </w:rPr>
        <w:t>级</w:t>
      </w:r>
      <w:r>
        <w:rPr>
          <w:rFonts w:hint="default" w:ascii="Times New Roman" w:hAnsi="Times New Roman" w:eastAsia="宋体" w:cs="Times New Roman"/>
          <w:color w:val="000000"/>
          <w:kern w:val="0"/>
          <w:sz w:val="21"/>
          <w:szCs w:val="21"/>
          <w:lang w:val="en-US" w:eastAsia="zh-CN" w:bidi="ar"/>
        </w:rPr>
        <w:t>（GB/T 17626.5 –2008）</w:t>
      </w:r>
      <w:r>
        <w:rPr>
          <w:rFonts w:hint="eastAsia" w:ascii="宋体" w:hAnsi="宋体" w:eastAsia="宋体" w:cs="宋体"/>
          <w:color w:val="000000"/>
          <w:kern w:val="0"/>
          <w:sz w:val="21"/>
          <w:szCs w:val="21"/>
          <w:lang w:val="en-US" w:eastAsia="zh-CN" w:bidi="ar"/>
        </w:rPr>
        <w:t>；</w:t>
      </w:r>
    </w:p>
    <w:p w14:paraId="2CFDEC22">
      <w:pPr>
        <w:keepNext w:val="0"/>
        <w:keepLines w:val="0"/>
        <w:widowControl/>
        <w:suppressLineNumbers w:val="0"/>
        <w:jc w:val="left"/>
      </w:pPr>
      <w:r>
        <w:rPr>
          <w:rFonts w:hint="eastAsia" w:ascii="宋体" w:hAnsi="宋体" w:eastAsia="宋体" w:cs="宋体"/>
          <w:color w:val="000000"/>
          <w:kern w:val="0"/>
          <w:sz w:val="21"/>
          <w:szCs w:val="21"/>
          <w:lang w:val="en-US" w:eastAsia="zh-CN" w:bidi="ar"/>
        </w:rPr>
        <w:t>GB/T 2423.1-2001 电工电子产品环境试验,第 2 部分：试验方法/试验 A：低温</w:t>
      </w:r>
      <w:r>
        <w:rPr>
          <w:rFonts w:hint="eastAsia" w:ascii="宋体" w:hAnsi="宋体" w:cs="宋体"/>
          <w:color w:val="000000"/>
          <w:kern w:val="0"/>
          <w:sz w:val="21"/>
          <w:szCs w:val="21"/>
          <w:lang w:val="en-US" w:eastAsia="zh-CN" w:bidi="ar"/>
        </w:rPr>
        <w:t>；</w:t>
      </w:r>
    </w:p>
    <w:p w14:paraId="20109108">
      <w:pPr>
        <w:keepNext w:val="0"/>
        <w:keepLines w:val="0"/>
        <w:widowControl/>
        <w:suppressLineNumbers w:val="0"/>
        <w:jc w:val="left"/>
      </w:pPr>
      <w:r>
        <w:rPr>
          <w:rFonts w:hint="eastAsia" w:ascii="宋体" w:hAnsi="宋体" w:eastAsia="宋体" w:cs="宋体"/>
          <w:color w:val="000000"/>
          <w:kern w:val="0"/>
          <w:sz w:val="21"/>
          <w:szCs w:val="21"/>
          <w:lang w:val="en-US" w:eastAsia="zh-CN" w:bidi="ar"/>
        </w:rPr>
        <w:t>GB/T 2423.2-2001 电工电子产品环境试验,第 2 部分：试验方法/试验 B：高温</w:t>
      </w:r>
      <w:r>
        <w:rPr>
          <w:rFonts w:hint="eastAsia" w:ascii="宋体" w:hAnsi="宋体" w:cs="宋体"/>
          <w:color w:val="000000"/>
          <w:kern w:val="0"/>
          <w:sz w:val="21"/>
          <w:szCs w:val="21"/>
          <w:lang w:val="en-US" w:eastAsia="zh-CN" w:bidi="ar"/>
        </w:rPr>
        <w:t>；</w:t>
      </w:r>
    </w:p>
    <w:p w14:paraId="739132A2">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GB/T 2423.3-1993 电工电子产品基本环境试验规程—试验 Ca:恒定湿热试验方法； </w:t>
      </w:r>
    </w:p>
    <w:p w14:paraId="30746EDB">
      <w:pPr>
        <w:keepNext w:val="0"/>
        <w:keepLines w:val="0"/>
        <w:widowControl/>
        <w:suppressLineNumbers w:val="0"/>
        <w:jc w:val="left"/>
      </w:pPr>
      <w:r>
        <w:rPr>
          <w:rFonts w:hint="eastAsia" w:ascii="宋体" w:hAnsi="宋体" w:eastAsia="宋体" w:cs="宋体"/>
          <w:color w:val="000000"/>
          <w:kern w:val="0"/>
          <w:sz w:val="21"/>
          <w:szCs w:val="21"/>
          <w:lang w:val="en-US" w:eastAsia="zh-CN" w:bidi="ar"/>
        </w:rPr>
        <w:t>GB/T 2423.4.1993 电工电子产品基本环境试验规程—试验 Db:交变湿热试验方法</w:t>
      </w:r>
      <w:r>
        <w:rPr>
          <w:rFonts w:hint="eastAsia" w:ascii="宋体" w:hAnsi="宋体" w:cs="宋体"/>
          <w:color w:val="000000"/>
          <w:kern w:val="0"/>
          <w:sz w:val="21"/>
          <w:szCs w:val="21"/>
          <w:lang w:val="en-US" w:eastAsia="zh-CN" w:bidi="ar"/>
        </w:rPr>
        <w:t>；</w:t>
      </w:r>
    </w:p>
    <w:p w14:paraId="3D08B9F6">
      <w:pPr>
        <w:keepNext w:val="0"/>
        <w:keepLines w:val="0"/>
        <w:widowControl/>
        <w:suppressLineNumbers w:val="0"/>
        <w:jc w:val="left"/>
      </w:pPr>
      <w:r>
        <w:rPr>
          <w:rFonts w:hint="eastAsia" w:ascii="宋体" w:hAnsi="宋体" w:eastAsia="宋体" w:cs="宋体"/>
          <w:color w:val="000000"/>
          <w:kern w:val="0"/>
          <w:sz w:val="21"/>
          <w:szCs w:val="21"/>
          <w:lang w:val="en-US" w:eastAsia="zh-CN" w:bidi="ar"/>
        </w:rPr>
        <w:t>GB/T 2423.5-1995 电工电子产品环境试验，第 2 部分：试验方法/试验 Ea 和导则：冲击</w:t>
      </w:r>
      <w:r>
        <w:rPr>
          <w:rFonts w:hint="eastAsia" w:ascii="宋体" w:hAnsi="宋体" w:cs="宋体"/>
          <w:color w:val="000000"/>
          <w:kern w:val="0"/>
          <w:sz w:val="21"/>
          <w:szCs w:val="21"/>
          <w:lang w:val="en-US" w:eastAsia="zh-CN" w:bidi="ar"/>
        </w:rPr>
        <w:t>；</w:t>
      </w:r>
    </w:p>
    <w:p w14:paraId="339972A7">
      <w:pPr>
        <w:keepNext w:val="0"/>
        <w:keepLines w:val="0"/>
        <w:widowControl/>
        <w:suppressLineNumbers w:val="0"/>
        <w:jc w:val="left"/>
      </w:pPr>
      <w:r>
        <w:rPr>
          <w:rFonts w:hint="eastAsia" w:ascii="宋体" w:hAnsi="宋体" w:eastAsia="宋体" w:cs="宋体"/>
          <w:color w:val="000000"/>
          <w:kern w:val="0"/>
          <w:sz w:val="21"/>
          <w:szCs w:val="21"/>
          <w:lang w:val="en-US" w:eastAsia="zh-CN" w:bidi="ar"/>
        </w:rPr>
        <w:t>GB/T 2423.6-1995 电工电子产品环境试验，第 2 部分：试验方法/试验 Ea 和导则：碰撞</w:t>
      </w:r>
      <w:r>
        <w:rPr>
          <w:rFonts w:hint="eastAsia" w:ascii="宋体" w:hAnsi="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GB/T 2423.8-1995 电工电子产品环境试验，第 2 部分：试验方法/试验 Ed：自由跌落</w:t>
      </w:r>
      <w:r>
        <w:rPr>
          <w:rFonts w:hint="eastAsia" w:ascii="宋体" w:hAnsi="宋体" w:cs="宋体"/>
          <w:color w:val="000000"/>
          <w:kern w:val="0"/>
          <w:sz w:val="21"/>
          <w:szCs w:val="21"/>
          <w:lang w:val="en-US" w:eastAsia="zh-CN" w:bidi="ar"/>
        </w:rPr>
        <w:t>；</w:t>
      </w:r>
    </w:p>
    <w:p w14:paraId="3B85464D">
      <w:pPr>
        <w:keepNext w:val="0"/>
        <w:keepLines w:val="0"/>
        <w:widowControl/>
        <w:suppressLineNumbers w:val="0"/>
        <w:jc w:val="left"/>
      </w:pPr>
      <w:r>
        <w:rPr>
          <w:rFonts w:hint="eastAsia" w:ascii="宋体" w:hAnsi="宋体" w:eastAsia="宋体" w:cs="宋体"/>
          <w:color w:val="000000"/>
          <w:kern w:val="0"/>
          <w:sz w:val="21"/>
          <w:szCs w:val="21"/>
          <w:lang w:val="en-US" w:eastAsia="zh-CN" w:bidi="ar"/>
        </w:rPr>
        <w:t>GB/T 2423.10-1995 电工电子产品环境试验，第 2 部分：试验方法/试验 Fc 和导则：振动</w:t>
      </w:r>
      <w:r>
        <w:rPr>
          <w:rFonts w:hint="eastAsia" w:ascii="宋体" w:hAnsi="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 </w:t>
      </w:r>
    </w:p>
    <w:p w14:paraId="04036A6C">
      <w:pPr>
        <w:keepNext w:val="0"/>
        <w:keepLines w:val="0"/>
        <w:widowControl/>
        <w:suppressLineNumbers w:val="0"/>
        <w:jc w:val="left"/>
      </w:pPr>
      <w:r>
        <w:rPr>
          <w:rFonts w:hint="eastAsia" w:ascii="宋体" w:hAnsi="宋体" w:eastAsia="宋体" w:cs="宋体"/>
          <w:color w:val="000000"/>
          <w:kern w:val="0"/>
          <w:sz w:val="21"/>
          <w:szCs w:val="21"/>
          <w:lang w:val="en-US" w:eastAsia="zh-CN" w:bidi="ar"/>
        </w:rPr>
        <w:t>GB/T 2423.11-1997 电工电子产品环境试验，第 2 部分：试验方法/试验 Fd：宽频带随机振动</w:t>
      </w:r>
      <w:r>
        <w:rPr>
          <w:rFonts w:hint="eastAsia" w:ascii="宋体" w:hAnsi="宋体" w:cs="宋体"/>
          <w:color w:val="000000"/>
          <w:kern w:val="0"/>
          <w:sz w:val="21"/>
          <w:szCs w:val="21"/>
          <w:lang w:val="en-US" w:eastAsia="zh-CN" w:bidi="ar"/>
        </w:rPr>
        <w:t>；</w:t>
      </w:r>
    </w:p>
    <w:p w14:paraId="70CE4DDB">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--一般要求 </w:t>
      </w:r>
    </w:p>
    <w:p w14:paraId="61418EA9">
      <w:pPr>
        <w:keepNext w:val="0"/>
        <w:keepLines w:val="0"/>
        <w:widowControl/>
        <w:suppressLineNumbers w:val="0"/>
        <w:jc w:val="left"/>
      </w:pPr>
      <w:r>
        <w:rPr>
          <w:rFonts w:hint="eastAsia" w:ascii="宋体" w:hAnsi="宋体" w:eastAsia="宋体" w:cs="宋体"/>
          <w:color w:val="000000"/>
          <w:kern w:val="0"/>
          <w:sz w:val="21"/>
          <w:szCs w:val="21"/>
          <w:lang w:val="en-US" w:eastAsia="zh-CN" w:bidi="ar"/>
        </w:rPr>
        <w:t>GB/T 2423.22-2002 电工电子产品环境试验，第 2 部分：试验 N：温度变化</w:t>
      </w:r>
      <w:r>
        <w:rPr>
          <w:rFonts w:hint="eastAsia" w:ascii="宋体" w:hAnsi="宋体" w:cs="宋体"/>
          <w:color w:val="000000"/>
          <w:kern w:val="0"/>
          <w:sz w:val="21"/>
          <w:szCs w:val="21"/>
          <w:lang w:val="en-US" w:eastAsia="zh-CN" w:bidi="ar"/>
        </w:rPr>
        <w:t>；</w:t>
      </w:r>
    </w:p>
    <w:p w14:paraId="71614DED">
      <w:pPr>
        <w:keepNext w:val="0"/>
        <w:keepLines w:val="0"/>
        <w:widowControl/>
        <w:suppressLineNumbers w:val="0"/>
        <w:jc w:val="left"/>
      </w:pPr>
      <w:r>
        <w:rPr>
          <w:rFonts w:hint="eastAsia" w:ascii="宋体" w:hAnsi="宋体" w:eastAsia="宋体" w:cs="宋体"/>
          <w:color w:val="000000"/>
          <w:kern w:val="0"/>
          <w:sz w:val="21"/>
          <w:szCs w:val="21"/>
          <w:lang w:val="en-US" w:eastAsia="zh-CN" w:bidi="ar"/>
        </w:rPr>
        <w:t>GB/T 14508-93 等级公路货物运输机械环境条件</w:t>
      </w:r>
      <w:r>
        <w:rPr>
          <w:rFonts w:hint="eastAsia" w:ascii="宋体" w:hAnsi="宋体" w:cs="宋体"/>
          <w:color w:val="000000"/>
          <w:kern w:val="0"/>
          <w:sz w:val="21"/>
          <w:szCs w:val="21"/>
          <w:lang w:val="en-US" w:eastAsia="zh-CN" w:bidi="ar"/>
        </w:rPr>
        <w:t>；</w:t>
      </w:r>
    </w:p>
    <w:p w14:paraId="6FECEA23">
      <w:pPr>
        <w:keepNext w:val="0"/>
        <w:keepLines w:val="0"/>
        <w:widowControl/>
        <w:suppressLineNumbers w:val="0"/>
        <w:jc w:val="left"/>
      </w:pPr>
      <w:r>
        <w:rPr>
          <w:rFonts w:hint="eastAsia" w:ascii="宋体" w:hAnsi="宋体" w:eastAsia="宋体" w:cs="宋体"/>
          <w:color w:val="000000"/>
          <w:kern w:val="0"/>
          <w:sz w:val="21"/>
          <w:szCs w:val="21"/>
          <w:lang w:val="en-US" w:eastAsia="zh-CN" w:bidi="ar"/>
        </w:rPr>
        <w:t>EN55022：1998 信息技术设备—无线干扰特性—限值和测量方法；</w:t>
      </w:r>
    </w:p>
    <w:p w14:paraId="518D1702">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EN55024：1998 信息技术设备—抗干扰特性—限值和测量方法； </w:t>
      </w:r>
    </w:p>
    <w:p w14:paraId="17F1A36D">
      <w:pPr>
        <w:keepNext w:val="0"/>
        <w:keepLines w:val="0"/>
        <w:widowControl/>
        <w:suppressLineNumbers w:val="0"/>
        <w:jc w:val="left"/>
      </w:pPr>
      <w:r>
        <w:rPr>
          <w:rFonts w:hint="eastAsia" w:ascii="宋体" w:hAnsi="宋体" w:eastAsia="宋体" w:cs="宋体"/>
          <w:color w:val="000000"/>
          <w:kern w:val="0"/>
          <w:sz w:val="21"/>
          <w:szCs w:val="21"/>
          <w:lang w:val="en-US" w:eastAsia="zh-CN" w:bidi="ar"/>
        </w:rPr>
        <w:t>CEI IEC 61000-4-2 2001 电磁兼容 试验和测量技术 静电放电抗扰度试验</w:t>
      </w:r>
      <w:r>
        <w:rPr>
          <w:rFonts w:hint="eastAsia" w:ascii="宋体" w:hAnsi="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 </w:t>
      </w:r>
    </w:p>
    <w:p w14:paraId="477C40F8">
      <w:pPr>
        <w:keepNext w:val="0"/>
        <w:keepLines w:val="0"/>
        <w:widowControl/>
        <w:suppressLineNumbers w:val="0"/>
        <w:jc w:val="left"/>
      </w:pPr>
      <w:r>
        <w:rPr>
          <w:rFonts w:hint="eastAsia" w:ascii="宋体" w:hAnsi="宋体" w:eastAsia="宋体" w:cs="宋体"/>
          <w:color w:val="000000"/>
          <w:kern w:val="0"/>
          <w:sz w:val="21"/>
          <w:szCs w:val="21"/>
          <w:lang w:val="en-US" w:eastAsia="zh-CN" w:bidi="ar"/>
        </w:rPr>
        <w:t>CEI IEC 61000-4-3 2002 电磁兼容 试验和测量技术 射频电磁场辐射扰抗扰度试验</w:t>
      </w:r>
      <w:r>
        <w:rPr>
          <w:rFonts w:hint="eastAsia" w:ascii="宋体" w:hAnsi="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 </w:t>
      </w:r>
    </w:p>
    <w:p w14:paraId="1BC66D4C">
      <w:pPr>
        <w:keepNext w:val="0"/>
        <w:keepLines w:val="0"/>
        <w:widowControl/>
        <w:suppressLineNumbers w:val="0"/>
        <w:jc w:val="left"/>
      </w:pPr>
      <w:r>
        <w:rPr>
          <w:rFonts w:hint="eastAsia" w:ascii="宋体" w:hAnsi="宋体" w:eastAsia="宋体" w:cs="宋体"/>
          <w:color w:val="000000"/>
          <w:kern w:val="0"/>
          <w:sz w:val="21"/>
          <w:szCs w:val="21"/>
          <w:lang w:val="en-US" w:eastAsia="zh-CN" w:bidi="ar"/>
        </w:rPr>
        <w:t>CEI IEC 61000-4-4 1998 电磁兼容 试验和测量技术 电快速瞬变脉冲群抗扰度试验</w:t>
      </w:r>
      <w:r>
        <w:rPr>
          <w:rFonts w:hint="eastAsia" w:ascii="宋体" w:hAnsi="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 </w:t>
      </w:r>
    </w:p>
    <w:p w14:paraId="009BD541">
      <w:pPr>
        <w:keepNext w:val="0"/>
        <w:keepLines w:val="0"/>
        <w:widowControl/>
        <w:suppressLineNumbers w:val="0"/>
        <w:jc w:val="left"/>
      </w:pPr>
      <w:r>
        <w:rPr>
          <w:rFonts w:hint="eastAsia" w:ascii="宋体" w:hAnsi="宋体" w:eastAsia="宋体" w:cs="宋体"/>
          <w:color w:val="000000"/>
          <w:kern w:val="0"/>
          <w:sz w:val="21"/>
          <w:szCs w:val="21"/>
          <w:lang w:val="en-US" w:eastAsia="zh-CN" w:bidi="ar"/>
        </w:rPr>
        <w:t>CEI IEC 61000-4-5 1999 电磁兼容 试验和测量技术 浪涌（冲击）抗扰度试验</w:t>
      </w:r>
      <w:r>
        <w:rPr>
          <w:rFonts w:hint="eastAsia" w:ascii="宋体" w:hAnsi="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 </w:t>
      </w:r>
    </w:p>
    <w:p w14:paraId="75F0F717">
      <w:pPr>
        <w:keepNext w:val="0"/>
        <w:keepLines w:val="0"/>
        <w:widowControl/>
        <w:suppressLineNumbers w:val="0"/>
        <w:jc w:val="left"/>
      </w:pPr>
      <w:r>
        <w:rPr>
          <w:rFonts w:hint="eastAsia" w:ascii="宋体" w:hAnsi="宋体" w:eastAsia="宋体" w:cs="宋体"/>
          <w:color w:val="000000"/>
          <w:kern w:val="0"/>
          <w:sz w:val="21"/>
          <w:szCs w:val="21"/>
          <w:lang w:val="en-US" w:eastAsia="zh-CN" w:bidi="ar"/>
        </w:rPr>
        <w:t>CEI IEC 61000-4-6 2001 电磁兼容 试验和测量技术 射频场感应的传导骚扰抗扰度</w:t>
      </w:r>
      <w:r>
        <w:rPr>
          <w:rFonts w:hint="eastAsia" w:ascii="宋体" w:hAnsi="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 </w:t>
      </w:r>
    </w:p>
    <w:p w14:paraId="0F97291A">
      <w:pPr>
        <w:keepNext w:val="0"/>
        <w:keepLines w:val="0"/>
        <w:widowControl/>
        <w:suppressLineNumbers w:val="0"/>
        <w:jc w:val="left"/>
      </w:pPr>
      <w:r>
        <w:rPr>
          <w:rFonts w:hint="eastAsia" w:ascii="宋体" w:hAnsi="宋体" w:eastAsia="宋体" w:cs="宋体"/>
          <w:color w:val="000000"/>
          <w:kern w:val="0"/>
          <w:sz w:val="21"/>
          <w:szCs w:val="21"/>
          <w:lang w:val="en-US" w:eastAsia="zh-CN" w:bidi="ar"/>
        </w:rPr>
        <w:t>CEI IEC 61000-4-8 1993 电磁兼容 试验和测量技术 工频磁场抗扰度试验</w:t>
      </w:r>
      <w:r>
        <w:rPr>
          <w:rFonts w:hint="eastAsia" w:ascii="宋体" w:hAnsi="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 </w:t>
      </w:r>
    </w:p>
    <w:p w14:paraId="40005C1A">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CEI IEC 61000-4-11 1994 电磁兼容 试验和测量技术 电压暂降、短时中断和电压变化的 </w:t>
      </w:r>
    </w:p>
    <w:p w14:paraId="7AD23DA1">
      <w:pPr>
        <w:keepNext w:val="0"/>
        <w:keepLines w:val="0"/>
        <w:widowControl/>
        <w:suppressLineNumbers w:val="0"/>
        <w:jc w:val="left"/>
      </w:pPr>
      <w:r>
        <w:rPr>
          <w:rFonts w:hint="eastAsia" w:ascii="宋体" w:hAnsi="宋体" w:eastAsia="宋体" w:cs="宋体"/>
          <w:color w:val="000000"/>
          <w:kern w:val="0"/>
          <w:sz w:val="21"/>
          <w:szCs w:val="21"/>
          <w:lang w:val="en-US" w:eastAsia="zh-CN" w:bidi="ar"/>
        </w:rPr>
        <w:t>抗扰度试验</w:t>
      </w:r>
      <w:r>
        <w:rPr>
          <w:rFonts w:hint="eastAsia" w:ascii="宋体" w:hAnsi="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 </w:t>
      </w:r>
    </w:p>
    <w:p w14:paraId="5EF289B3">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CEI IEC 61000-4-29 2000 电磁兼容 试验和测量技术 直流输入端口电压暂降、短时中断 </w:t>
      </w:r>
    </w:p>
    <w:p w14:paraId="216CCFAE">
      <w:pPr>
        <w:keepNext w:val="0"/>
        <w:keepLines w:val="0"/>
        <w:widowControl/>
        <w:suppressLineNumbers w:val="0"/>
        <w:jc w:val="left"/>
      </w:pPr>
      <w:r>
        <w:rPr>
          <w:rFonts w:hint="eastAsia" w:ascii="宋体" w:hAnsi="宋体" w:eastAsia="宋体" w:cs="宋体"/>
          <w:color w:val="000000"/>
          <w:kern w:val="0"/>
          <w:sz w:val="21"/>
          <w:szCs w:val="21"/>
          <w:lang w:val="en-US" w:eastAsia="zh-CN" w:bidi="ar"/>
        </w:rPr>
        <w:t>和电压变化的抗扰度试验</w:t>
      </w:r>
      <w:r>
        <w:rPr>
          <w:rFonts w:hint="eastAsia" w:ascii="宋体" w:hAnsi="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 </w:t>
      </w:r>
    </w:p>
    <w:p w14:paraId="231714E8">
      <w:pPr>
        <w:keepNext w:val="0"/>
        <w:keepLines w:val="0"/>
        <w:widowControl/>
        <w:suppressLineNumbers w:val="0"/>
        <w:jc w:val="left"/>
      </w:pPr>
      <w:r>
        <w:rPr>
          <w:rFonts w:hint="eastAsia" w:ascii="宋体" w:hAnsi="宋体" w:eastAsia="宋体" w:cs="宋体"/>
          <w:color w:val="000000"/>
          <w:kern w:val="0"/>
          <w:sz w:val="21"/>
          <w:szCs w:val="21"/>
          <w:lang w:val="en-US" w:eastAsia="zh-CN" w:bidi="ar"/>
        </w:rPr>
        <w:t>IEC 61000-3-2 2001 电磁兼容限值谐波电流发射限值（设备每相输入电流≤16A）</w:t>
      </w:r>
      <w:r>
        <w:rPr>
          <w:rFonts w:hint="eastAsia" w:ascii="宋体" w:hAnsi="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 </w:t>
      </w:r>
    </w:p>
    <w:p w14:paraId="700D2BD2">
      <w:pPr>
        <w:keepNext w:val="0"/>
        <w:keepLines w:val="0"/>
        <w:widowControl/>
        <w:suppressLineNumbers w:val="0"/>
        <w:jc w:val="left"/>
      </w:pPr>
      <w:r>
        <w:rPr>
          <w:rFonts w:hint="eastAsia" w:ascii="宋体" w:hAnsi="宋体" w:eastAsia="宋体" w:cs="宋体"/>
          <w:color w:val="000000"/>
          <w:kern w:val="0"/>
          <w:sz w:val="21"/>
          <w:szCs w:val="21"/>
          <w:lang w:val="en-US" w:eastAsia="zh-CN" w:bidi="ar"/>
        </w:rPr>
        <w:t>IEC 61000-3-3 1994 电磁兼容限值低压供电系统的电压波动及闪烁（设备额定电流≤16A）</w:t>
      </w:r>
      <w:r>
        <w:rPr>
          <w:rFonts w:hint="eastAsia" w:ascii="宋体" w:hAnsi="宋体" w:cs="宋体"/>
          <w:color w:val="000000"/>
          <w:kern w:val="0"/>
          <w:sz w:val="21"/>
          <w:szCs w:val="21"/>
          <w:lang w:val="en-US" w:eastAsia="zh-CN" w:bidi="ar"/>
        </w:rPr>
        <w:t>；</w:t>
      </w:r>
    </w:p>
    <w:p w14:paraId="3EB43FB9">
      <w:pPr>
        <w:keepNext w:val="0"/>
        <w:keepLines w:val="0"/>
        <w:widowControl/>
        <w:suppressLineNumbers w:val="0"/>
        <w:jc w:val="left"/>
      </w:pPr>
      <w:r>
        <w:rPr>
          <w:rFonts w:hint="eastAsia" w:ascii="宋体" w:hAnsi="宋体" w:eastAsia="宋体" w:cs="宋体"/>
          <w:color w:val="000000"/>
          <w:kern w:val="0"/>
          <w:sz w:val="21"/>
          <w:szCs w:val="21"/>
          <w:lang w:val="en-US" w:eastAsia="zh-CN" w:bidi="ar"/>
        </w:rPr>
        <w:t>GB4943.1-2011 信息技术设备的安全</w:t>
      </w:r>
      <w:r>
        <w:rPr>
          <w:rFonts w:hint="eastAsia" w:ascii="宋体" w:hAnsi="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 </w:t>
      </w:r>
    </w:p>
    <w:p w14:paraId="78ADC41C">
      <w:pPr>
        <w:keepNext w:val="0"/>
        <w:keepLines w:val="0"/>
        <w:widowControl/>
        <w:suppressLineNumbers w:val="0"/>
        <w:jc w:val="left"/>
      </w:pPr>
      <w:r>
        <w:rPr>
          <w:rFonts w:hint="eastAsia" w:ascii="宋体" w:hAnsi="宋体" w:eastAsia="宋体" w:cs="宋体"/>
          <w:color w:val="000000"/>
          <w:kern w:val="0"/>
          <w:sz w:val="21"/>
          <w:szCs w:val="21"/>
          <w:lang w:val="en-US" w:eastAsia="zh-CN" w:bidi="ar"/>
        </w:rPr>
        <w:t>YD/T 282-2000 通信设备可靠性通用试验方法</w:t>
      </w:r>
      <w:r>
        <w:rPr>
          <w:rFonts w:hint="eastAsia" w:ascii="宋体" w:hAnsi="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 </w:t>
      </w:r>
    </w:p>
    <w:p w14:paraId="563C7F96">
      <w:pPr>
        <w:keepNext w:val="0"/>
        <w:keepLines w:val="0"/>
        <w:widowControl/>
        <w:suppressLineNumbers w:val="0"/>
        <w:jc w:val="left"/>
      </w:pPr>
      <w:r>
        <w:rPr>
          <w:rFonts w:hint="eastAsia" w:ascii="宋体" w:hAnsi="宋体" w:eastAsia="宋体" w:cs="宋体"/>
          <w:color w:val="000000"/>
          <w:kern w:val="0"/>
          <w:sz w:val="21"/>
          <w:szCs w:val="21"/>
          <w:lang w:val="en-US" w:eastAsia="zh-CN" w:bidi="ar"/>
        </w:rPr>
        <w:t>GB/T 13722-92 移动通信电源技术要求和试验方法</w:t>
      </w:r>
      <w:r>
        <w:rPr>
          <w:rFonts w:hint="eastAsia" w:ascii="宋体" w:hAnsi="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 </w:t>
      </w:r>
    </w:p>
    <w:p w14:paraId="16433FE4">
      <w:pPr>
        <w:keepNext w:val="0"/>
        <w:keepLines w:val="0"/>
        <w:widowControl/>
        <w:suppressLineNumbers w:val="0"/>
        <w:jc w:val="left"/>
      </w:pPr>
      <w:r>
        <w:rPr>
          <w:rFonts w:hint="eastAsia" w:ascii="宋体" w:hAnsi="宋体" w:eastAsia="宋体" w:cs="宋体"/>
          <w:color w:val="000000"/>
          <w:kern w:val="0"/>
          <w:sz w:val="21"/>
          <w:szCs w:val="21"/>
          <w:lang w:val="en-US" w:eastAsia="zh-CN" w:bidi="ar"/>
        </w:rPr>
        <w:t>YD/T 732-95 通信用直流-直流变换器检验方法</w:t>
      </w:r>
      <w:r>
        <w:rPr>
          <w:rFonts w:hint="eastAsia" w:ascii="宋体" w:hAnsi="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 </w:t>
      </w:r>
    </w:p>
    <w:p w14:paraId="49A84077">
      <w:pPr>
        <w:keepNext w:val="0"/>
        <w:keepLines w:val="0"/>
        <w:widowControl/>
        <w:suppressLineNumbers w:val="0"/>
        <w:jc w:val="left"/>
        <w:rPr>
          <w:rFonts w:hint="default"/>
          <w:snapToGrid w:val="0"/>
          <w:szCs w:val="21"/>
          <w:lang w:val="en-US" w:eastAsia="zh-CN"/>
        </w:rPr>
      </w:pPr>
      <w:r>
        <w:rPr>
          <w:rFonts w:hint="eastAsia" w:ascii="宋体" w:hAnsi="宋体" w:eastAsia="宋体" w:cs="宋体"/>
          <w:color w:val="000000"/>
          <w:kern w:val="0"/>
          <w:sz w:val="21"/>
          <w:szCs w:val="21"/>
          <w:lang w:val="en-US" w:eastAsia="zh-CN" w:bidi="ar"/>
        </w:rPr>
        <w:t>YD/T 731-2002 通信用高频开关整流器</w:t>
      </w:r>
      <w:r>
        <w:rPr>
          <w:rFonts w:hint="eastAsia" w:ascii="宋体" w:hAnsi="宋体" w:cs="宋体"/>
          <w:color w:val="000000"/>
          <w:kern w:val="0"/>
          <w:sz w:val="21"/>
          <w:szCs w:val="21"/>
          <w:lang w:val="en-US" w:eastAsia="zh-CN" w:bidi="ar"/>
        </w:rPr>
        <w:t>；</w:t>
      </w:r>
    </w:p>
    <w:p w14:paraId="7B2DEA7C">
      <w:pPr>
        <w:pStyle w:val="61"/>
        <w:outlineLvl w:val="0"/>
      </w:pPr>
      <w:r>
        <w:rPr>
          <w:rFonts w:hint="eastAsia"/>
        </w:rPr>
        <w:t>3　术语和定义</w:t>
      </w:r>
      <w:bookmarkEnd w:id="5"/>
    </w:p>
    <w:p w14:paraId="05B72064">
      <w:pPr>
        <w:topLinePunct/>
        <w:spacing w:line="326" w:lineRule="exact"/>
        <w:ind w:firstLine="420"/>
        <w:rPr>
          <w:snapToGrid w:val="0"/>
          <w:szCs w:val="21"/>
        </w:rPr>
      </w:pPr>
      <w:r>
        <w:rPr>
          <w:rFonts w:hint="eastAsia"/>
          <w:snapToGrid w:val="0"/>
          <w:szCs w:val="21"/>
        </w:rPr>
        <w:t>下列术语和定义适用于本文件。</w:t>
      </w:r>
    </w:p>
    <w:p w14:paraId="3630F668">
      <w:pPr>
        <w:topLinePunct/>
        <w:spacing w:line="326" w:lineRule="exact"/>
        <w:ind w:firstLine="420"/>
        <w:rPr>
          <w:snapToGrid w:val="0"/>
          <w:szCs w:val="21"/>
        </w:rPr>
      </w:pPr>
      <w:r>
        <w:rPr>
          <w:snapToGrid w:val="0"/>
          <w:szCs w:val="21"/>
        </w:rPr>
        <w:t>3.1</w:t>
      </w:r>
      <w:r>
        <w:rPr>
          <w:rFonts w:hint="eastAsia"/>
          <w:snapToGrid w:val="0"/>
          <w:szCs w:val="21"/>
        </w:rPr>
        <w:t>　</w:t>
      </w:r>
    </w:p>
    <w:p w14:paraId="5B80B85A">
      <w:pPr>
        <w:topLinePunct/>
        <w:spacing w:line="326" w:lineRule="exact"/>
        <w:ind w:firstLine="420"/>
        <w:rPr>
          <w:snapToGrid w:val="0"/>
          <w:szCs w:val="21"/>
        </w:rPr>
      </w:pPr>
      <w:r>
        <w:rPr>
          <w:rFonts w:hint="eastAsia"/>
          <w:snapToGrid w:val="0"/>
          <w:szCs w:val="21"/>
        </w:rPr>
        <w:t>招标人　</w:t>
      </w:r>
      <w:r>
        <w:rPr>
          <w:snapToGrid w:val="0"/>
          <w:szCs w:val="21"/>
        </w:rPr>
        <w:t>bidder</w:t>
      </w:r>
    </w:p>
    <w:p w14:paraId="73E87BB8">
      <w:pPr>
        <w:topLinePunct/>
        <w:spacing w:line="326" w:lineRule="exact"/>
        <w:ind w:firstLine="420"/>
        <w:rPr>
          <w:snapToGrid w:val="0"/>
          <w:szCs w:val="21"/>
        </w:rPr>
      </w:pPr>
      <w:r>
        <w:rPr>
          <w:rFonts w:hint="eastAsia"/>
          <w:snapToGrid w:val="0"/>
          <w:szCs w:val="21"/>
        </w:rPr>
        <w:t>提出招标项目，进行招标的法人或其他组织。</w:t>
      </w:r>
    </w:p>
    <w:p w14:paraId="7A0FB764">
      <w:pPr>
        <w:topLinePunct/>
        <w:spacing w:line="326" w:lineRule="exact"/>
        <w:ind w:firstLine="420"/>
        <w:rPr>
          <w:snapToGrid w:val="0"/>
          <w:szCs w:val="21"/>
        </w:rPr>
      </w:pPr>
      <w:r>
        <w:rPr>
          <w:snapToGrid w:val="0"/>
          <w:szCs w:val="21"/>
        </w:rPr>
        <w:t>3.2</w:t>
      </w:r>
      <w:r>
        <w:rPr>
          <w:rFonts w:hint="eastAsia"/>
          <w:snapToGrid w:val="0"/>
          <w:szCs w:val="21"/>
        </w:rPr>
        <w:t>　</w:t>
      </w:r>
    </w:p>
    <w:p w14:paraId="439A29EA">
      <w:pPr>
        <w:topLinePunct/>
        <w:spacing w:line="326" w:lineRule="exact"/>
        <w:ind w:firstLine="420"/>
        <w:rPr>
          <w:snapToGrid w:val="0"/>
          <w:szCs w:val="21"/>
        </w:rPr>
      </w:pPr>
      <w:r>
        <w:rPr>
          <w:rFonts w:hint="eastAsia"/>
          <w:snapToGrid w:val="0"/>
          <w:szCs w:val="21"/>
        </w:rPr>
        <w:t>投标人　</w:t>
      </w:r>
      <w:r>
        <w:rPr>
          <w:snapToGrid w:val="0"/>
          <w:szCs w:val="21"/>
        </w:rPr>
        <w:t>tenderer</w:t>
      </w:r>
    </w:p>
    <w:p w14:paraId="0BDF65EF">
      <w:pPr>
        <w:topLinePunct/>
        <w:spacing w:line="326" w:lineRule="exact"/>
        <w:ind w:firstLine="420"/>
        <w:rPr>
          <w:snapToGrid w:val="0"/>
          <w:szCs w:val="21"/>
        </w:rPr>
      </w:pPr>
      <w:r>
        <w:rPr>
          <w:rFonts w:hint="eastAsia"/>
          <w:snapToGrid w:val="0"/>
          <w:szCs w:val="21"/>
        </w:rPr>
        <w:t>响应招标、参加投标竞争的法人或者其他组织。</w:t>
      </w:r>
    </w:p>
    <w:p w14:paraId="7FAB0967">
      <w:pPr>
        <w:topLinePunct/>
        <w:spacing w:line="326" w:lineRule="exact"/>
        <w:ind w:firstLine="420"/>
        <w:rPr>
          <w:snapToGrid w:val="0"/>
          <w:szCs w:val="21"/>
        </w:rPr>
      </w:pPr>
      <w:r>
        <w:rPr>
          <w:snapToGrid w:val="0"/>
          <w:szCs w:val="21"/>
        </w:rPr>
        <w:t>3.3</w:t>
      </w:r>
      <w:r>
        <w:rPr>
          <w:rFonts w:hint="eastAsia"/>
          <w:snapToGrid w:val="0"/>
          <w:szCs w:val="21"/>
        </w:rPr>
        <w:t>　</w:t>
      </w:r>
    </w:p>
    <w:p w14:paraId="06014479">
      <w:pPr>
        <w:topLinePunct/>
        <w:spacing w:line="326" w:lineRule="exact"/>
        <w:ind w:firstLine="420"/>
        <w:rPr>
          <w:snapToGrid w:val="0"/>
          <w:szCs w:val="21"/>
        </w:rPr>
      </w:pPr>
      <w:r>
        <w:rPr>
          <w:rFonts w:hint="eastAsia"/>
          <w:snapToGrid w:val="0"/>
          <w:szCs w:val="21"/>
        </w:rPr>
        <w:t>卖方（供方）</w:t>
      </w:r>
      <w:r>
        <w:rPr>
          <w:snapToGrid w:val="0"/>
          <w:szCs w:val="21"/>
        </w:rPr>
        <w:t xml:space="preserve"> seller (supplier)</w:t>
      </w:r>
    </w:p>
    <w:p w14:paraId="58680FA0">
      <w:pPr>
        <w:topLinePunct/>
        <w:spacing w:line="326" w:lineRule="exact"/>
        <w:ind w:firstLine="420"/>
        <w:rPr>
          <w:snapToGrid w:val="0"/>
          <w:szCs w:val="21"/>
        </w:rPr>
      </w:pPr>
      <w:r>
        <w:rPr>
          <w:rFonts w:hint="eastAsia"/>
          <w:snapToGrid w:val="0"/>
          <w:szCs w:val="21"/>
        </w:rPr>
        <w:t>提供本部分货物和技术服务的法人或其他组织，包括其法定的承继者。</w:t>
      </w:r>
    </w:p>
    <w:p w14:paraId="7EF39555">
      <w:pPr>
        <w:topLinePunct/>
        <w:spacing w:line="326" w:lineRule="exact"/>
        <w:ind w:firstLine="420"/>
        <w:rPr>
          <w:snapToGrid w:val="0"/>
          <w:szCs w:val="21"/>
        </w:rPr>
      </w:pPr>
      <w:r>
        <w:rPr>
          <w:snapToGrid w:val="0"/>
          <w:szCs w:val="21"/>
        </w:rPr>
        <w:t>3.4</w:t>
      </w:r>
    </w:p>
    <w:p w14:paraId="6D6675B8">
      <w:pPr>
        <w:topLinePunct/>
        <w:spacing w:line="326" w:lineRule="exact"/>
        <w:ind w:firstLine="420"/>
        <w:rPr>
          <w:snapToGrid w:val="0"/>
          <w:szCs w:val="21"/>
        </w:rPr>
      </w:pPr>
      <w:r>
        <w:rPr>
          <w:rFonts w:hint="eastAsia"/>
          <w:snapToGrid w:val="0"/>
          <w:szCs w:val="21"/>
        </w:rPr>
        <w:t>买方（需方）</w:t>
      </w:r>
      <w:r>
        <w:rPr>
          <w:snapToGrid w:val="0"/>
          <w:szCs w:val="21"/>
        </w:rPr>
        <w:t xml:space="preserve"> buyer (purchaser)</w:t>
      </w:r>
    </w:p>
    <w:p w14:paraId="78843864">
      <w:pPr>
        <w:topLinePunct/>
        <w:spacing w:line="326" w:lineRule="exact"/>
        <w:ind w:firstLine="420"/>
        <w:rPr>
          <w:snapToGrid w:val="0"/>
          <w:szCs w:val="21"/>
        </w:rPr>
      </w:pPr>
      <w:r>
        <w:rPr>
          <w:rFonts w:hint="eastAsia"/>
          <w:snapToGrid w:val="0"/>
          <w:szCs w:val="21"/>
        </w:rPr>
        <w:t>购买本部分货物和技术服务的法人或其他组织，包括其法定的承继者和经许可的受让人。</w:t>
      </w:r>
    </w:p>
    <w:p w14:paraId="754B3417">
      <w:pPr>
        <w:pStyle w:val="61"/>
        <w:outlineLvl w:val="0"/>
      </w:pPr>
      <w:bookmarkStart w:id="6" w:name="_Toc438720044"/>
      <w:r>
        <w:rPr>
          <w:rFonts w:hint="eastAsia"/>
        </w:rPr>
        <w:t>4　总则</w:t>
      </w:r>
      <w:bookmarkEnd w:id="6"/>
    </w:p>
    <w:p w14:paraId="0AA0E1A5">
      <w:pPr>
        <w:pStyle w:val="60"/>
      </w:pPr>
      <w:r>
        <w:rPr>
          <w:rFonts w:hint="eastAsia"/>
        </w:rPr>
        <w:t>4</w:t>
      </w:r>
      <w:r>
        <w:rPr>
          <w:rFonts w:hint="eastAsia"/>
          <w:spacing w:val="20"/>
        </w:rPr>
        <w:t>.</w:t>
      </w:r>
      <w:r>
        <w:rPr>
          <w:rFonts w:hint="eastAsia"/>
        </w:rPr>
        <w:t>1　一般规定</w:t>
      </w:r>
    </w:p>
    <w:p w14:paraId="0A08FCB7">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1　</w:t>
      </w:r>
      <w:r>
        <w:rPr>
          <w:rFonts w:hint="eastAsia"/>
          <w:bCs/>
          <w:szCs w:val="21"/>
        </w:rPr>
        <w:t>投标人应具备招标公告所要求的资质，具体资质要求详见招标文件的商务部分。</w:t>
      </w:r>
    </w:p>
    <w:p w14:paraId="2FE5E346">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2　</w:t>
      </w:r>
      <w:r>
        <w:rPr>
          <w:rFonts w:hint="eastAsia"/>
          <w:bCs/>
          <w:szCs w:val="21"/>
        </w:rPr>
        <w:t>投标人应仔细阅读本标准（包括本标准通用和相关专用技术规范）的全部条款。</w:t>
      </w:r>
    </w:p>
    <w:p w14:paraId="6D02088A">
      <w:pPr>
        <w:topLinePunct/>
        <w:spacing w:line="312" w:lineRule="exact"/>
        <w:rPr>
          <w:spacing w:val="2"/>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3　</w:t>
      </w:r>
      <w:r>
        <w:rPr>
          <w:rFonts w:hint="eastAsia"/>
          <w:spacing w:val="2"/>
          <w:szCs w:val="21"/>
        </w:rPr>
        <w:t>本部分提出的是最低限度的技术要求，并未对一切技术细节作出规定，也未充分引述有关标准的条文，投标人应提供符合本部分引用标准的最新版本标准和本部分技术要求的全新产品。</w:t>
      </w:r>
    </w:p>
    <w:p w14:paraId="1D8A35A8">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4　</w:t>
      </w:r>
      <w:r>
        <w:rPr>
          <w:rFonts w:hint="eastAsia"/>
          <w:szCs w:val="21"/>
        </w:rPr>
        <w:t>如果投标人没有以书面形式对本部分的条文提出差异，则意味着投标人提供的设备完全符合本部分的要求。如有与本部分要求不一致的地方，应逐项在技术差异表中列出。</w:t>
      </w:r>
    </w:p>
    <w:p w14:paraId="19F45CFF">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5　</w:t>
      </w:r>
      <w:r>
        <w:rPr>
          <w:rFonts w:hint="eastAsia"/>
          <w:szCs w:val="21"/>
        </w:rPr>
        <w:t>本部分将作为订货合同的附件，与合同具有同等的法律效力。本部分未尽事宜，由合同签约双方在合同谈判时协商确定。</w:t>
      </w:r>
    </w:p>
    <w:p w14:paraId="6553E6BC">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6　</w:t>
      </w:r>
      <w:r>
        <w:rPr>
          <w:rFonts w:hint="eastAsia"/>
          <w:szCs w:val="21"/>
        </w:rPr>
        <w:t>本部分中涉及有关商务方面的内容，如与招标文件的商务部分有矛盾时，以商务部分为准。</w:t>
      </w:r>
    </w:p>
    <w:p w14:paraId="6052CB8E">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7　</w:t>
      </w:r>
      <w:r>
        <w:rPr>
          <w:rFonts w:hint="eastAsia"/>
          <w:szCs w:val="21"/>
        </w:rPr>
        <w:t>本部分中各条款如与专用部分有冲突，以专用部分为准。</w:t>
      </w:r>
    </w:p>
    <w:p w14:paraId="376E3A93">
      <w:pPr>
        <w:pStyle w:val="60"/>
        <w:rPr>
          <w:snapToGrid w:val="0"/>
        </w:rPr>
      </w:pPr>
      <w:r>
        <w:rPr>
          <w:rFonts w:hint="eastAsia"/>
          <w:snapToGrid w:val="0"/>
        </w:rPr>
        <w:t>4</w:t>
      </w:r>
      <w:r>
        <w:rPr>
          <w:rFonts w:hint="eastAsia"/>
          <w:snapToGrid w:val="0"/>
          <w:spacing w:val="20"/>
        </w:rPr>
        <w:t>.</w:t>
      </w:r>
      <w:r>
        <w:rPr>
          <w:rFonts w:hint="eastAsia"/>
          <w:snapToGrid w:val="0"/>
        </w:rPr>
        <w:t>2　投标人应提供的资格文件</w:t>
      </w:r>
    </w:p>
    <w:p w14:paraId="5A58F675">
      <w:pPr>
        <w:topLinePunct/>
        <w:spacing w:line="312" w:lineRule="exact"/>
        <w:ind w:firstLine="420"/>
        <w:rPr>
          <w:snapToGrid w:val="0"/>
          <w:szCs w:val="21"/>
        </w:rPr>
      </w:pPr>
      <w:r>
        <w:rPr>
          <w:rFonts w:hint="eastAsia"/>
          <w:snapToGrid w:val="0"/>
          <w:szCs w:val="21"/>
        </w:rPr>
        <w:t>投标人应提供下列资格文件：</w:t>
      </w:r>
    </w:p>
    <w:p w14:paraId="5168ED28">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投标人或制造商投标产品的销售记录及相应的最终用户的使用情况证明。</w:t>
      </w:r>
    </w:p>
    <w:p w14:paraId="51FB18FF">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投标人或制造商应提供权威机关颁发的</w:t>
      </w:r>
      <w:r>
        <w:rPr>
          <w:snapToGrid w:val="0"/>
          <w:szCs w:val="21"/>
        </w:rPr>
        <w:t>ISO 9000</w:t>
      </w:r>
      <w:r>
        <w:rPr>
          <w:rFonts w:hint="eastAsia"/>
          <w:snapToGrid w:val="0"/>
          <w:szCs w:val="21"/>
        </w:rPr>
        <w:t>系列的认证书。</w:t>
      </w:r>
    </w:p>
    <w:p w14:paraId="24362F55">
      <w:pPr>
        <w:topLinePunct/>
        <w:spacing w:line="312" w:lineRule="exact"/>
        <w:ind w:left="840" w:hanging="420"/>
        <w:rPr>
          <w:snapToGrid w:val="0"/>
          <w:szCs w:val="21"/>
        </w:rPr>
      </w:pPr>
      <w:r>
        <w:rPr>
          <w:snapToGrid w:val="0"/>
          <w:szCs w:val="21"/>
        </w:rPr>
        <w:t>c</w:t>
      </w:r>
      <w:r>
        <w:rPr>
          <w:rFonts w:hint="eastAsia"/>
          <w:snapToGrid w:val="0"/>
          <w:szCs w:val="21"/>
        </w:rPr>
        <w:t>）</w:t>
      </w:r>
      <w:r>
        <w:rPr>
          <w:snapToGrid w:val="0"/>
          <w:szCs w:val="21"/>
        </w:rPr>
        <w:tab/>
      </w:r>
      <w:r>
        <w:rPr>
          <w:rFonts w:hint="eastAsia"/>
          <w:snapToGrid w:val="0"/>
          <w:szCs w:val="21"/>
        </w:rPr>
        <w:t>投标人或制造商应提供履行合同所需的技术和主要设备等生产能力的文件资料。</w:t>
      </w:r>
    </w:p>
    <w:p w14:paraId="7EE0A7B2">
      <w:pPr>
        <w:topLinePunct/>
        <w:spacing w:line="312" w:lineRule="exact"/>
        <w:ind w:left="840" w:hanging="420"/>
        <w:rPr>
          <w:snapToGrid w:val="0"/>
          <w:szCs w:val="21"/>
        </w:rPr>
      </w:pPr>
      <w:r>
        <w:rPr>
          <w:snapToGrid w:val="0"/>
          <w:szCs w:val="21"/>
        </w:rPr>
        <w:t>d</w:t>
      </w:r>
      <w:r>
        <w:rPr>
          <w:rFonts w:hint="eastAsia"/>
          <w:snapToGrid w:val="0"/>
          <w:szCs w:val="21"/>
        </w:rPr>
        <w:t>）</w:t>
      </w:r>
      <w:r>
        <w:rPr>
          <w:snapToGrid w:val="0"/>
          <w:szCs w:val="21"/>
        </w:rPr>
        <w:tab/>
      </w:r>
      <w:r>
        <w:rPr>
          <w:rFonts w:hint="eastAsia"/>
          <w:snapToGrid w:val="0"/>
          <w:szCs w:val="21"/>
        </w:rPr>
        <w:t>投标人应提供有能力履行合同设备维护保养、修理及其他服务义务的文件。</w:t>
      </w:r>
    </w:p>
    <w:p w14:paraId="356F7E44">
      <w:pPr>
        <w:topLinePunct/>
        <w:spacing w:line="312" w:lineRule="exact"/>
        <w:ind w:left="840" w:hanging="420"/>
        <w:rPr>
          <w:snapToGrid w:val="0"/>
          <w:szCs w:val="21"/>
        </w:rPr>
      </w:pPr>
      <w:r>
        <w:rPr>
          <w:snapToGrid w:val="0"/>
          <w:szCs w:val="21"/>
        </w:rPr>
        <w:t>e</w:t>
      </w:r>
      <w:r>
        <w:rPr>
          <w:rFonts w:hint="eastAsia"/>
          <w:snapToGrid w:val="0"/>
          <w:szCs w:val="21"/>
        </w:rPr>
        <w:t>）</w:t>
      </w:r>
      <w:r>
        <w:rPr>
          <w:snapToGrid w:val="0"/>
          <w:szCs w:val="21"/>
        </w:rPr>
        <w:tab/>
      </w:r>
      <w:r>
        <w:rPr>
          <w:rFonts w:hint="eastAsia"/>
          <w:snapToGrid w:val="0"/>
          <w:szCs w:val="21"/>
        </w:rPr>
        <w:t>投标人或制造商应提供投标产品全部有效期内合格的型式试验报告和</w:t>
      </w:r>
      <w:r>
        <w:rPr>
          <w:snapToGrid w:val="0"/>
          <w:szCs w:val="21"/>
        </w:rPr>
        <w:t>CCC</w:t>
      </w:r>
      <w:r>
        <w:rPr>
          <w:rFonts w:hint="eastAsia"/>
          <w:snapToGrid w:val="0"/>
          <w:szCs w:val="21"/>
        </w:rPr>
        <w:t>产品认证证书。</w:t>
      </w:r>
    </w:p>
    <w:p w14:paraId="5E88F58D">
      <w:pPr>
        <w:topLinePunct/>
        <w:spacing w:line="312" w:lineRule="exact"/>
        <w:ind w:left="840" w:hanging="420"/>
        <w:rPr>
          <w:snapToGrid w:val="0"/>
          <w:szCs w:val="21"/>
        </w:rPr>
      </w:pPr>
      <w:r>
        <w:rPr>
          <w:snapToGrid w:val="0"/>
          <w:szCs w:val="21"/>
        </w:rPr>
        <w:t>f</w:t>
      </w:r>
      <w:r>
        <w:rPr>
          <w:rFonts w:hint="eastAsia"/>
          <w:snapToGrid w:val="0"/>
          <w:szCs w:val="21"/>
        </w:rPr>
        <w:t>）</w:t>
      </w:r>
      <w:r>
        <w:rPr>
          <w:snapToGrid w:val="0"/>
          <w:szCs w:val="21"/>
        </w:rPr>
        <w:tab/>
      </w:r>
      <w:r>
        <w:rPr>
          <w:rFonts w:hint="eastAsia"/>
          <w:snapToGrid w:val="0"/>
          <w:szCs w:val="21"/>
        </w:rPr>
        <w:t>投标人或制造商应提供一份详细的投标产品中重要外购或配套部件供应商清单及检验报告。</w:t>
      </w:r>
    </w:p>
    <w:p w14:paraId="5F4EF90B">
      <w:pPr>
        <w:pStyle w:val="60"/>
      </w:pPr>
      <w:r>
        <w:rPr>
          <w:rFonts w:hint="eastAsia"/>
        </w:rPr>
        <w:t>4</w:t>
      </w:r>
      <w:r>
        <w:rPr>
          <w:rFonts w:hint="eastAsia"/>
          <w:spacing w:val="20"/>
        </w:rPr>
        <w:t>.</w:t>
      </w:r>
      <w:r>
        <w:rPr>
          <w:rFonts w:hint="eastAsia"/>
        </w:rPr>
        <w:t>3　适用范围</w:t>
      </w:r>
    </w:p>
    <w:p w14:paraId="398FF22D">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1　</w:t>
      </w:r>
      <w:r>
        <w:rPr>
          <w:rFonts w:hint="eastAsia"/>
          <w:szCs w:val="21"/>
        </w:rPr>
        <w:t>本部分的适用范围仅限于本工程的投标产品。内容包括设计、结构、性能、安装、试验、调试及现场服务和技术服务。</w:t>
      </w:r>
    </w:p>
    <w:p w14:paraId="20697902">
      <w:pPr>
        <w:topLinePunct/>
        <w:spacing w:line="312" w:lineRule="exact"/>
        <w:rPr>
          <w:snapToGrid w:val="0"/>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2　</w:t>
      </w:r>
      <w:r>
        <w:rPr>
          <w:rFonts w:hint="eastAsia"/>
          <w:szCs w:val="21"/>
        </w:rPr>
        <w:t>中标人不应晚于签约后</w:t>
      </w:r>
      <w:r>
        <w:rPr>
          <w:rFonts w:hint="eastAsia"/>
          <w:szCs w:val="21"/>
          <w:u w:val="single"/>
        </w:rPr>
        <w:t>3　</w:t>
      </w:r>
      <w:r>
        <w:rPr>
          <w:rFonts w:hint="eastAsia"/>
          <w:szCs w:val="21"/>
        </w:rPr>
        <w:t>天内，向招标人提出一个详尽的生产进度计划表，包括产品设计、材料采购、产品制造、厂内测试以及运输等详情，以确定每部分工作及其进度。</w:t>
      </w:r>
      <w:r>
        <w:rPr>
          <w:rFonts w:hint="eastAsia"/>
          <w:snapToGrid w:val="0"/>
          <w:szCs w:val="21"/>
        </w:rPr>
        <w:t>生产进度计划见表</w:t>
      </w:r>
      <w:r>
        <w:rPr>
          <w:snapToGrid w:val="0"/>
          <w:szCs w:val="21"/>
        </w:rPr>
        <w:t>1</w:t>
      </w:r>
      <w:r>
        <w:rPr>
          <w:rFonts w:hint="eastAsia"/>
          <w:snapToGrid w:val="0"/>
          <w:szCs w:val="21"/>
        </w:rPr>
        <w:t>。</w:t>
      </w:r>
    </w:p>
    <w:p w14:paraId="60123E3D">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3　</w:t>
      </w:r>
      <w:r>
        <w:rPr>
          <w:rFonts w:hint="eastAsia"/>
          <w:snapToGrid w:val="0"/>
          <w:szCs w:val="21"/>
        </w:rPr>
        <w:t>工作进度如有延误，投标人应及时向招标人说明原因、后果及采取的补救措施等。</w:t>
      </w:r>
    </w:p>
    <w:p w14:paraId="1BEFA1BE">
      <w:pPr>
        <w:pStyle w:val="60"/>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4　对试验报告的要求</w:t>
      </w:r>
    </w:p>
    <w:p w14:paraId="136A313D">
      <w:pPr>
        <w:topLinePunct/>
        <w:spacing w:line="312" w:lineRule="exact"/>
        <w:ind w:firstLine="420"/>
        <w:rPr>
          <w:szCs w:val="21"/>
        </w:rPr>
      </w:pPr>
      <w:r>
        <w:rPr>
          <w:rFonts w:hint="eastAsia"/>
          <w:szCs w:val="21"/>
        </w:rPr>
        <w:t>投标人应提供具体投标系列所对应的资质文件：</w:t>
      </w:r>
    </w:p>
    <w:p w14:paraId="5A3D83C6">
      <w:pPr>
        <w:ind w:left="840" w:hanging="420"/>
      </w:pPr>
      <w:r>
        <w:t>a</w:t>
      </w:r>
      <w:r>
        <w:rPr>
          <w:rFonts w:hint="eastAsia"/>
        </w:rPr>
        <w:t xml:space="preserve">） </w:t>
      </w:r>
      <w:r>
        <w:rPr>
          <w:rFonts w:hint="eastAsia"/>
          <w:snapToGrid w:val="0"/>
          <w:szCs w:val="21"/>
          <w:lang w:eastAsia="zh-CN"/>
        </w:rPr>
        <w:t>常用开关电源</w:t>
      </w:r>
      <w:r>
        <w:rPr>
          <w:rFonts w:hint="eastAsia"/>
        </w:rPr>
        <w:t>的3C证书、型式试验报告和出厂试验报告。</w:t>
      </w:r>
    </w:p>
    <w:p w14:paraId="59E9FA86">
      <w:pPr>
        <w:ind w:left="840" w:hanging="420"/>
      </w:pPr>
      <w:r>
        <w:t>b</w:t>
      </w:r>
      <w:r>
        <w:rPr>
          <w:rFonts w:hint="eastAsia"/>
        </w:rPr>
        <w:t>）</w:t>
      </w:r>
      <w:r>
        <w:tab/>
      </w:r>
      <w:r>
        <w:rPr>
          <w:rFonts w:hint="eastAsia"/>
          <w:snapToGrid w:val="0"/>
          <w:szCs w:val="21"/>
          <w:lang w:eastAsia="zh-CN"/>
        </w:rPr>
        <w:t>常用开关电源</w:t>
      </w:r>
      <w:r>
        <w:rPr>
          <w:rFonts w:hint="eastAsia"/>
        </w:rPr>
        <w:t>的主要元件的型式试验报告和出厂试验报告。</w:t>
      </w:r>
    </w:p>
    <w:p w14:paraId="1E953693">
      <w:pPr>
        <w:ind w:left="840" w:hanging="420"/>
      </w:pPr>
      <w:r>
        <w:t>c</w:t>
      </w:r>
      <w:r>
        <w:rPr>
          <w:rFonts w:hint="eastAsia"/>
        </w:rPr>
        <w:t>）</w:t>
      </w:r>
      <w:r>
        <w:tab/>
      </w:r>
      <w:r>
        <w:rPr>
          <w:rFonts w:hint="eastAsia"/>
        </w:rPr>
        <w:t>当产品的设计、工艺、生产条件或使用的材料及主要元件发生重大改变而影响到产品性能时，应做相应的型式试验并提供试验报告。</w:t>
      </w:r>
    </w:p>
    <w:p w14:paraId="48C4C628">
      <w:pPr>
        <w:pStyle w:val="60"/>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5　标准</w:t>
      </w:r>
    </w:p>
    <w:p w14:paraId="69B55AB1">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1　</w:t>
      </w:r>
      <w:r>
        <w:rPr>
          <w:rFonts w:hint="eastAsia"/>
          <w:snapToGrid w:val="0"/>
          <w:szCs w:val="21"/>
        </w:rPr>
        <w:t>合同中所有设备、备品备件，包括投标人从第三方获得的所有附件和设备，除本部分中规定的技术参数和要求外，其余均应遵照最新版本的电力行业标准（</w:t>
      </w:r>
      <w:r>
        <w:rPr>
          <w:snapToGrid w:val="0"/>
          <w:szCs w:val="21"/>
        </w:rPr>
        <w:t>DL</w:t>
      </w:r>
      <w:r>
        <w:rPr>
          <w:rFonts w:hint="eastAsia"/>
          <w:snapToGrid w:val="0"/>
          <w:szCs w:val="21"/>
        </w:rPr>
        <w:t>）、国家标准（</w:t>
      </w:r>
      <w:r>
        <w:rPr>
          <w:snapToGrid w:val="0"/>
          <w:szCs w:val="21"/>
        </w:rPr>
        <w:t>GB</w:t>
      </w:r>
      <w:r>
        <w:rPr>
          <w:rFonts w:hint="eastAsia"/>
          <w:snapToGrid w:val="0"/>
          <w:szCs w:val="21"/>
        </w:rPr>
        <w:t>）和</w:t>
      </w:r>
      <w:r>
        <w:rPr>
          <w:snapToGrid w:val="0"/>
          <w:szCs w:val="21"/>
        </w:rPr>
        <w:t>IEC</w:t>
      </w:r>
      <w:r>
        <w:rPr>
          <w:rFonts w:hint="eastAsia"/>
          <w:snapToGrid w:val="0"/>
          <w:szCs w:val="21"/>
        </w:rPr>
        <w:t>标准及国际单位制（</w:t>
      </w:r>
      <w:r>
        <w:rPr>
          <w:snapToGrid w:val="0"/>
          <w:szCs w:val="21"/>
        </w:rPr>
        <w:t>SI</w:t>
      </w:r>
      <w:r>
        <w:rPr>
          <w:rFonts w:hint="eastAsia"/>
          <w:snapToGrid w:val="0"/>
          <w:szCs w:val="21"/>
        </w:rPr>
        <w:t>），这是对设备的最低要求。投标人如果采用自己的标准或规范，应向招标人提供中文和英文（若有）复印件并经招标人同意后方可采用，但不能低于</w:t>
      </w:r>
      <w:r>
        <w:rPr>
          <w:snapToGrid w:val="0"/>
          <w:szCs w:val="21"/>
        </w:rPr>
        <w:t>DL</w:t>
      </w:r>
      <w:r>
        <w:rPr>
          <w:rFonts w:hint="eastAsia"/>
          <w:snapToGrid w:val="0"/>
          <w:szCs w:val="21"/>
        </w:rPr>
        <w:t>、</w:t>
      </w:r>
      <w:r>
        <w:rPr>
          <w:snapToGrid w:val="0"/>
          <w:szCs w:val="21"/>
        </w:rPr>
        <w:t>GB</w:t>
      </w:r>
      <w:r>
        <w:rPr>
          <w:rFonts w:hint="eastAsia"/>
          <w:snapToGrid w:val="0"/>
          <w:szCs w:val="21"/>
        </w:rPr>
        <w:t>和</w:t>
      </w:r>
      <w:r>
        <w:rPr>
          <w:snapToGrid w:val="0"/>
          <w:szCs w:val="21"/>
        </w:rPr>
        <w:t>IEC</w:t>
      </w:r>
      <w:r>
        <w:rPr>
          <w:rFonts w:hint="eastAsia"/>
          <w:snapToGrid w:val="0"/>
          <w:szCs w:val="21"/>
        </w:rPr>
        <w:t>的有关规定。</w:t>
      </w:r>
    </w:p>
    <w:p w14:paraId="084D24BD">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2　</w:t>
      </w:r>
      <w:r>
        <w:rPr>
          <w:rFonts w:hint="eastAsia"/>
          <w:snapToGrid w:val="0"/>
          <w:szCs w:val="21"/>
        </w:rPr>
        <w:t>所有螺栓、双头螺栓、螺纹、管螺纹、螺栓夹及螺母均应遵守国际标准化组织（</w:t>
      </w:r>
      <w:r>
        <w:rPr>
          <w:snapToGrid w:val="0"/>
          <w:szCs w:val="21"/>
        </w:rPr>
        <w:t>ISO</w:t>
      </w:r>
      <w:r>
        <w:rPr>
          <w:rFonts w:hint="eastAsia"/>
          <w:snapToGrid w:val="0"/>
          <w:szCs w:val="21"/>
        </w:rPr>
        <w:t>）和国际单位制（</w:t>
      </w:r>
      <w:r>
        <w:rPr>
          <w:snapToGrid w:val="0"/>
          <w:szCs w:val="21"/>
        </w:rPr>
        <w:t>SI</w:t>
      </w:r>
      <w:r>
        <w:rPr>
          <w:rFonts w:hint="eastAsia"/>
          <w:snapToGrid w:val="0"/>
          <w:szCs w:val="21"/>
        </w:rPr>
        <w:t>）的标准。</w:t>
      </w:r>
    </w:p>
    <w:p w14:paraId="458BD88C">
      <w:pPr>
        <w:pStyle w:val="60"/>
        <w:rPr>
          <w:snapToGrid w:val="0"/>
        </w:rPr>
      </w:pPr>
      <w:r>
        <w:rPr>
          <w:rFonts w:hint="eastAsia"/>
          <w:snapToGrid w:val="0"/>
        </w:rPr>
        <w:t>4</w:t>
      </w:r>
      <w:r>
        <w:rPr>
          <w:rFonts w:hint="eastAsia"/>
          <w:snapToGrid w:val="0"/>
          <w:spacing w:val="20"/>
        </w:rPr>
        <w:t>.</w:t>
      </w:r>
      <w:r>
        <w:rPr>
          <w:rFonts w:hint="eastAsia"/>
          <w:snapToGrid w:val="0"/>
        </w:rPr>
        <w:t>6　投标人应提交的技术参数和信息</w:t>
      </w:r>
    </w:p>
    <w:p w14:paraId="4BB0B4A2">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技术参数特性表、技术偏差表及相关技术资料。</w:t>
      </w:r>
    </w:p>
    <w:p w14:paraId="0434C28A">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投标产品的特性参数和特点。</w:t>
      </w:r>
    </w:p>
    <w:p w14:paraId="26AB21D1">
      <w:pPr>
        <w:pStyle w:val="60"/>
        <w:rPr>
          <w:snapToGrid w:val="0"/>
        </w:rPr>
      </w:pPr>
      <w:r>
        <w:rPr>
          <w:rFonts w:hint="eastAsia"/>
          <w:snapToGrid w:val="0"/>
        </w:rPr>
        <w:t>4</w:t>
      </w:r>
      <w:r>
        <w:rPr>
          <w:rFonts w:hint="eastAsia"/>
          <w:snapToGrid w:val="0"/>
          <w:spacing w:val="20"/>
        </w:rPr>
        <w:t>.</w:t>
      </w:r>
      <w:r>
        <w:rPr>
          <w:rFonts w:hint="eastAsia"/>
          <w:snapToGrid w:val="0"/>
        </w:rPr>
        <w:t>7　备品备件</w:t>
      </w:r>
    </w:p>
    <w:p w14:paraId="5921A82F">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1　</w:t>
      </w:r>
      <w:r>
        <w:rPr>
          <w:rFonts w:hint="eastAsia"/>
          <w:snapToGrid w:val="0"/>
          <w:szCs w:val="21"/>
        </w:rPr>
        <w:t>投标人应提供必备和推荐的备品备件，并分别列出其单价（商务部分填写，如有）。</w:t>
      </w:r>
    </w:p>
    <w:p w14:paraId="277C3DC0">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2　</w:t>
      </w:r>
      <w:r>
        <w:rPr>
          <w:rFonts w:hint="eastAsia"/>
          <w:snapToGrid w:val="0"/>
          <w:szCs w:val="21"/>
        </w:rPr>
        <w:t>所有备品备件应为全新产品，与已经安装同型号设备的相应部件能够互换。</w:t>
      </w:r>
    </w:p>
    <w:p w14:paraId="6EDA7D37">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3　</w:t>
      </w:r>
      <w:r>
        <w:rPr>
          <w:rFonts w:hint="eastAsia"/>
          <w:snapToGrid w:val="0"/>
          <w:szCs w:val="21"/>
        </w:rPr>
        <w:t>所有备品备件应单独装箱，包装应能防尘、防潮、防止损坏等，与主设备一并发运，并标注“备品备件”，以区别本体。</w:t>
      </w:r>
    </w:p>
    <w:p w14:paraId="2C9E70CC">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4　</w:t>
      </w:r>
      <w:r>
        <w:rPr>
          <w:rFonts w:hint="eastAsia"/>
        </w:rPr>
        <w:t>配套提供设备支架，供货前同项目单位确认安装方式。</w:t>
      </w:r>
    </w:p>
    <w:p w14:paraId="66A2B115">
      <w:pPr>
        <w:pStyle w:val="60"/>
        <w:rPr>
          <w:snapToGrid w:val="0"/>
        </w:rPr>
      </w:pPr>
      <w:r>
        <w:rPr>
          <w:rFonts w:hint="eastAsia"/>
          <w:snapToGrid w:val="0"/>
        </w:rPr>
        <w:t>4</w:t>
      </w:r>
      <w:r>
        <w:rPr>
          <w:rFonts w:hint="eastAsia"/>
          <w:snapToGrid w:val="0"/>
          <w:spacing w:val="20"/>
        </w:rPr>
        <w:t>.</w:t>
      </w:r>
      <w:r>
        <w:rPr>
          <w:rFonts w:hint="eastAsia"/>
          <w:snapToGrid w:val="0"/>
        </w:rPr>
        <w:t>8　专用工具与仪器仪表</w:t>
      </w:r>
    </w:p>
    <w:p w14:paraId="046A71BF">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1　</w:t>
      </w:r>
      <w:r>
        <w:rPr>
          <w:rFonts w:hint="eastAsia"/>
          <w:snapToGrid w:val="0"/>
          <w:szCs w:val="21"/>
        </w:rPr>
        <w:t>投标人应提供必备和推荐的专用工具和仪器仪表，并列出其单价（商务部分填写，如有）。</w:t>
      </w:r>
    </w:p>
    <w:p w14:paraId="3835888B">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2　</w:t>
      </w:r>
      <w:r>
        <w:rPr>
          <w:rFonts w:hint="eastAsia"/>
          <w:snapToGrid w:val="0"/>
          <w:szCs w:val="21"/>
        </w:rPr>
        <w:t>所有专用工具与仪器仪表应是全新的，并附详细的使用说明资料。</w:t>
      </w:r>
    </w:p>
    <w:p w14:paraId="36C729F6">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3　</w:t>
      </w:r>
      <w:r>
        <w:rPr>
          <w:rFonts w:hint="eastAsia"/>
          <w:snapToGrid w:val="0"/>
          <w:szCs w:val="21"/>
        </w:rPr>
        <w:t>专用工具与仪器仪表应</w:t>
      </w:r>
      <w:r>
        <w:rPr>
          <w:rFonts w:hint="eastAsia"/>
          <w:bCs/>
          <w:szCs w:val="21"/>
        </w:rPr>
        <w:t>单独装箱</w:t>
      </w:r>
      <w:r>
        <w:rPr>
          <w:rFonts w:hint="eastAsia"/>
          <w:snapToGrid w:val="0"/>
          <w:szCs w:val="21"/>
        </w:rPr>
        <w:t>，注明“专用工具”、“仪器仪表”，并标明防潮、防尘、易碎、向上、勿倒置等字样，同主设备一并发运。</w:t>
      </w:r>
    </w:p>
    <w:p w14:paraId="0FFFC457">
      <w:pPr>
        <w:pStyle w:val="60"/>
        <w:rPr>
          <w:snapToGrid w:val="0"/>
        </w:rPr>
      </w:pPr>
      <w:r>
        <w:rPr>
          <w:rFonts w:hint="eastAsia"/>
          <w:snapToGrid w:val="0"/>
        </w:rPr>
        <w:t>4</w:t>
      </w:r>
      <w:r>
        <w:rPr>
          <w:rFonts w:hint="eastAsia"/>
          <w:snapToGrid w:val="0"/>
          <w:spacing w:val="20"/>
        </w:rPr>
        <w:t>.</w:t>
      </w:r>
      <w:r>
        <w:rPr>
          <w:rFonts w:hint="eastAsia"/>
          <w:snapToGrid w:val="0"/>
        </w:rPr>
        <w:t>9　安装、调试、性能试验、试运行和验收</w:t>
      </w:r>
    </w:p>
    <w:p w14:paraId="7241F88C">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w:t>
      </w:r>
      <w:r>
        <w:rPr>
          <w:rFonts w:hint="eastAsia" w:ascii="EU-F1"/>
          <w:snapToGrid w:val="0"/>
          <w:szCs w:val="21"/>
        </w:rPr>
        <w:t>1　</w:t>
      </w:r>
      <w:r>
        <w:rPr>
          <w:rFonts w:hint="eastAsia"/>
          <w:snapToGrid w:val="0"/>
          <w:szCs w:val="21"/>
        </w:rPr>
        <w:t>合同设备的安装、调试将由招标人根据投标人提供的技术文件和说明书的规定在投标人技术人员指导下进行。</w:t>
      </w:r>
    </w:p>
    <w:p w14:paraId="46DE5377">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w:t>
      </w:r>
      <w:r>
        <w:rPr>
          <w:rFonts w:hint="eastAsia" w:ascii="EU-F1"/>
          <w:snapToGrid w:val="0"/>
          <w:szCs w:val="21"/>
        </w:rPr>
        <w:t>2　</w:t>
      </w:r>
      <w:r>
        <w:rPr>
          <w:rFonts w:hint="eastAsia"/>
          <w:snapToGrid w:val="0"/>
          <w:szCs w:val="21"/>
        </w:rPr>
        <w:t>合同设备的性能试验、试运行和验收根据本部分规定的标准、规程规范进行。</w:t>
      </w:r>
    </w:p>
    <w:p w14:paraId="395ADD67">
      <w:pPr>
        <w:topLinePunct/>
        <w:spacing w:line="312" w:lineRule="exact"/>
        <w:rPr>
          <w:rFonts w:hint="eastAsia"/>
          <w:snapToGrid w:val="0"/>
          <w:spacing w:val="-2"/>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.3</w:t>
      </w:r>
      <w:r>
        <w:rPr>
          <w:rFonts w:hint="eastAsia" w:ascii="EU-F1"/>
          <w:snapToGrid w:val="0"/>
          <w:szCs w:val="21"/>
        </w:rPr>
        <w:t>　</w:t>
      </w:r>
      <w:r>
        <w:rPr>
          <w:rFonts w:hint="eastAsia"/>
          <w:snapToGrid w:val="0"/>
          <w:spacing w:val="-2"/>
          <w:szCs w:val="21"/>
        </w:rPr>
        <w:t>如果安装、调试、性能试验、试运行及质保期内技术指标一项或多项不能满足合同技术部分要求，招投标双方共同分析原因，分清责任，如属制造方面的原因，或涉及索赔部分，按商务部分有关条款执行。</w:t>
      </w:r>
    </w:p>
    <w:p w14:paraId="27AEFF83">
      <w:pPr>
        <w:topLinePunct/>
        <w:spacing w:line="312" w:lineRule="exact"/>
        <w:rPr>
          <w:rFonts w:hint="eastAsia"/>
          <w:snapToGrid w:val="0"/>
          <w:spacing w:val="-2"/>
          <w:szCs w:val="21"/>
        </w:rPr>
      </w:pPr>
    </w:p>
    <w:p w14:paraId="202AC44D">
      <w:pPr>
        <w:pStyle w:val="61"/>
        <w:outlineLvl w:val="0"/>
      </w:pPr>
      <w:bookmarkStart w:id="7" w:name="_Toc438720045"/>
      <w:r>
        <w:rPr>
          <w:rFonts w:hint="eastAsia"/>
        </w:rPr>
        <w:t>5　技术参数和性能要求</w:t>
      </w:r>
      <w:bookmarkEnd w:id="7"/>
    </w:p>
    <w:p w14:paraId="01DC4739">
      <w:pPr>
        <w:pStyle w:val="60"/>
        <w:rPr>
          <w:rFonts w:hint="eastAsia"/>
        </w:rPr>
      </w:pPr>
      <w:r>
        <w:rPr>
          <w:rFonts w:hint="eastAsia"/>
        </w:rPr>
        <w:t>5</w:t>
      </w:r>
      <w:r>
        <w:rPr>
          <w:rFonts w:hint="eastAsia"/>
          <w:spacing w:val="20"/>
        </w:rPr>
        <w:t>.</w:t>
      </w:r>
      <w:r>
        <w:rPr>
          <w:rFonts w:hint="eastAsia"/>
        </w:rPr>
        <w:t>1　功能要求</w:t>
      </w:r>
    </w:p>
    <w:p w14:paraId="0DCC0E62">
      <w:pPr>
        <w:keepNext w:val="0"/>
        <w:keepLines w:val="0"/>
        <w:pageBreakBefore w:val="0"/>
        <w:widowControl w:val="0"/>
        <w:kinsoku/>
        <w:wordWrap/>
        <w:overflowPunct/>
        <w:topLinePunct/>
        <w:autoSpaceDE/>
        <w:autoSpaceDN/>
        <w:bidi w:val="0"/>
        <w:adjustRightInd/>
        <w:snapToGrid/>
        <w:spacing w:line="312" w:lineRule="exact"/>
        <w:ind w:firstLine="412" w:firstLineChars="200"/>
        <w:textAlignment w:val="auto"/>
        <w:rPr>
          <w:rFonts w:hint="eastAsia"/>
          <w:snapToGrid w:val="0"/>
          <w:spacing w:val="-2"/>
          <w:szCs w:val="21"/>
        </w:rPr>
      </w:pPr>
      <w:r>
        <w:rPr>
          <w:rFonts w:hint="eastAsia"/>
          <w:snapToGrid w:val="0"/>
          <w:spacing w:val="-2"/>
          <w:szCs w:val="21"/>
          <w:lang w:val="en-US" w:eastAsia="zh-CN"/>
        </w:rPr>
        <w:t>a</w:t>
      </w:r>
      <w:r>
        <w:rPr>
          <w:rFonts w:hint="eastAsia"/>
          <w:snapToGrid w:val="0"/>
          <w:spacing w:val="-2"/>
          <w:szCs w:val="21"/>
        </w:rPr>
        <w:t>）</w:t>
      </w:r>
      <w:r>
        <w:rPr>
          <w:rFonts w:hint="eastAsia"/>
          <w:snapToGrid w:val="0"/>
          <w:spacing w:val="-2"/>
          <w:szCs w:val="21"/>
          <w:lang w:val="en-US" w:eastAsia="zh-CN"/>
        </w:rPr>
        <w:t xml:space="preserve">良好的 </w:t>
      </w:r>
      <w:r>
        <w:rPr>
          <w:rFonts w:hint="default"/>
          <w:snapToGrid w:val="0"/>
          <w:spacing w:val="-2"/>
          <w:szCs w:val="21"/>
          <w:lang w:val="en-US" w:eastAsia="zh-CN"/>
        </w:rPr>
        <w:t xml:space="preserve">EMC </w:t>
      </w:r>
      <w:r>
        <w:rPr>
          <w:rFonts w:hint="eastAsia"/>
          <w:snapToGrid w:val="0"/>
          <w:spacing w:val="-2"/>
          <w:szCs w:val="21"/>
          <w:lang w:val="en-US" w:eastAsia="zh-CN"/>
        </w:rPr>
        <w:t>性能，专为电力智能仪表设计。</w:t>
      </w:r>
    </w:p>
    <w:p w14:paraId="43D5FF84">
      <w:pPr>
        <w:keepNext w:val="0"/>
        <w:keepLines w:val="0"/>
        <w:pageBreakBefore w:val="0"/>
        <w:widowControl w:val="0"/>
        <w:kinsoku/>
        <w:wordWrap/>
        <w:overflowPunct/>
        <w:topLinePunct/>
        <w:autoSpaceDE/>
        <w:autoSpaceDN/>
        <w:bidi w:val="0"/>
        <w:adjustRightInd/>
        <w:snapToGrid/>
        <w:spacing w:line="312" w:lineRule="exact"/>
        <w:ind w:firstLine="412" w:firstLineChars="200"/>
        <w:textAlignment w:val="auto"/>
        <w:rPr>
          <w:rFonts w:hint="eastAsia"/>
          <w:snapToGrid w:val="0"/>
          <w:spacing w:val="-2"/>
          <w:szCs w:val="21"/>
        </w:rPr>
      </w:pPr>
      <w:r>
        <w:rPr>
          <w:rFonts w:hint="eastAsia"/>
          <w:snapToGrid w:val="0"/>
          <w:spacing w:val="-2"/>
          <w:szCs w:val="21"/>
          <w:lang w:val="en-US" w:eastAsia="zh-CN"/>
        </w:rPr>
        <w:t>b</w:t>
      </w:r>
      <w:r>
        <w:rPr>
          <w:rFonts w:hint="eastAsia"/>
          <w:snapToGrid w:val="0"/>
          <w:spacing w:val="-2"/>
          <w:szCs w:val="21"/>
        </w:rPr>
        <w:t>）</w:t>
      </w:r>
      <w:r>
        <w:rPr>
          <w:rFonts w:hint="eastAsia"/>
          <w:snapToGrid w:val="0"/>
          <w:spacing w:val="-2"/>
          <w:szCs w:val="21"/>
          <w:lang w:val="en-US" w:eastAsia="zh-CN"/>
        </w:rPr>
        <w:t>高隔离、高可靠性、小体积电源。</w:t>
      </w:r>
    </w:p>
    <w:p w14:paraId="2CF16026">
      <w:pPr>
        <w:keepNext w:val="0"/>
        <w:keepLines w:val="0"/>
        <w:pageBreakBefore w:val="0"/>
        <w:widowControl w:val="0"/>
        <w:kinsoku/>
        <w:wordWrap/>
        <w:overflowPunct/>
        <w:topLinePunct/>
        <w:autoSpaceDE/>
        <w:autoSpaceDN/>
        <w:bidi w:val="0"/>
        <w:adjustRightInd/>
        <w:snapToGrid/>
        <w:spacing w:line="312" w:lineRule="exact"/>
        <w:ind w:firstLine="412" w:firstLineChars="200"/>
        <w:textAlignment w:val="auto"/>
        <w:rPr>
          <w:rFonts w:hint="eastAsia"/>
        </w:rPr>
      </w:pPr>
      <w:r>
        <w:rPr>
          <w:rFonts w:hint="eastAsia"/>
          <w:snapToGrid w:val="0"/>
          <w:spacing w:val="-2"/>
          <w:szCs w:val="21"/>
          <w:lang w:val="en-US" w:eastAsia="zh-CN"/>
        </w:rPr>
        <w:t>c</w:t>
      </w:r>
      <w:r>
        <w:rPr>
          <w:rFonts w:hint="eastAsia"/>
          <w:snapToGrid w:val="0"/>
          <w:spacing w:val="-2"/>
          <w:szCs w:val="21"/>
        </w:rPr>
        <w:t>）</w:t>
      </w:r>
      <w:r>
        <w:rPr>
          <w:rFonts w:hint="eastAsia"/>
          <w:snapToGrid w:val="0"/>
          <w:spacing w:val="-2"/>
          <w:szCs w:val="21"/>
          <w:lang w:val="en-US" w:eastAsia="zh-CN"/>
        </w:rPr>
        <w:t>输出电压</w:t>
      </w:r>
      <w:r>
        <w:rPr>
          <w:rFonts w:hint="default"/>
          <w:snapToGrid w:val="0"/>
          <w:spacing w:val="-2"/>
          <w:szCs w:val="21"/>
          <w:lang w:val="en-US" w:eastAsia="zh-CN"/>
        </w:rPr>
        <w:t>/</w:t>
      </w:r>
      <w:r>
        <w:rPr>
          <w:rFonts w:hint="eastAsia"/>
          <w:snapToGrid w:val="0"/>
          <w:spacing w:val="-2"/>
          <w:szCs w:val="21"/>
          <w:lang w:val="en-US" w:eastAsia="zh-CN"/>
        </w:rPr>
        <w:t>电流可按用户要求而设计。</w:t>
      </w:r>
    </w:p>
    <w:p w14:paraId="62DCDDCD">
      <w:pPr>
        <w:rPr>
          <w:rFonts w:hint="eastAsia"/>
        </w:rPr>
      </w:pPr>
      <w:r>
        <w:rPr>
          <w:rFonts w:hint="eastAsia"/>
        </w:rPr>
        <w:t>5</w:t>
      </w:r>
      <w:r>
        <w:rPr>
          <w:rFonts w:hint="eastAsia"/>
          <w:spacing w:val="20"/>
        </w:rPr>
        <w:t>.</w:t>
      </w:r>
      <w:r>
        <w:rPr>
          <w:rFonts w:hint="eastAsia"/>
        </w:rPr>
        <w:t>2　性能要求</w:t>
      </w:r>
    </w:p>
    <w:p w14:paraId="2989280C">
      <w:pPr>
        <w:topLinePunct/>
        <w:spacing w:line="312" w:lineRule="exact"/>
        <w:ind w:firstLine="420"/>
        <w:rPr>
          <w:rFonts w:hint="default"/>
          <w:szCs w:val="21"/>
          <w:lang w:val="en-US" w:eastAsia="zh-CN"/>
        </w:rPr>
      </w:pPr>
      <w:r>
        <w:rPr>
          <w:rFonts w:hint="eastAsia"/>
          <w:szCs w:val="21"/>
        </w:rPr>
        <w:t>a）</w:t>
      </w:r>
      <w:r>
        <w:rPr>
          <w:rFonts w:hint="eastAsia"/>
          <w:szCs w:val="21"/>
          <w:lang w:val="en-US" w:eastAsia="zh-CN"/>
        </w:rPr>
        <w:t>输入电压：AC</w:t>
      </w:r>
      <w:r>
        <w:rPr>
          <w:rFonts w:hint="default"/>
          <w:szCs w:val="21"/>
          <w:lang w:val="en-US" w:eastAsia="zh-CN"/>
        </w:rPr>
        <w:t>85</w:t>
      </w:r>
      <w:r>
        <w:rPr>
          <w:rFonts w:hint="eastAsia"/>
          <w:szCs w:val="21"/>
          <w:lang w:val="en-US" w:eastAsia="zh-CN"/>
        </w:rPr>
        <w:t>～</w:t>
      </w:r>
      <w:r>
        <w:rPr>
          <w:rFonts w:hint="default"/>
          <w:szCs w:val="21"/>
          <w:lang w:val="en-US" w:eastAsia="zh-CN"/>
        </w:rPr>
        <w:t>265V/47</w:t>
      </w:r>
      <w:r>
        <w:rPr>
          <w:rFonts w:hint="eastAsia"/>
          <w:szCs w:val="21"/>
          <w:lang w:val="en-US" w:eastAsia="zh-CN"/>
        </w:rPr>
        <w:t>～</w:t>
      </w:r>
      <w:r>
        <w:rPr>
          <w:rFonts w:hint="default"/>
          <w:szCs w:val="21"/>
          <w:lang w:val="en-US" w:eastAsia="zh-CN"/>
        </w:rPr>
        <w:t>63Hz</w:t>
      </w:r>
      <w:r>
        <w:rPr>
          <w:rFonts w:hint="eastAsia"/>
          <w:szCs w:val="21"/>
          <w:lang w:val="en-US" w:eastAsia="zh-CN"/>
        </w:rPr>
        <w:t>。</w:t>
      </w:r>
    </w:p>
    <w:p w14:paraId="5400AE06">
      <w:pPr>
        <w:topLinePunct/>
        <w:spacing w:line="312" w:lineRule="exact"/>
        <w:ind w:firstLine="420"/>
        <w:rPr>
          <w:rFonts w:hint="default"/>
          <w:szCs w:val="21"/>
          <w:lang w:val="en-US"/>
        </w:rPr>
      </w:pPr>
      <w:r>
        <w:rPr>
          <w:rFonts w:hint="eastAsia"/>
          <w:szCs w:val="21"/>
        </w:rPr>
        <w:t>b）</w:t>
      </w:r>
      <w:r>
        <w:rPr>
          <w:rFonts w:hint="eastAsia"/>
          <w:szCs w:val="21"/>
          <w:lang w:val="en-US" w:eastAsia="zh-CN"/>
        </w:rPr>
        <w:t>输入冷启动冲击电流：最大</w:t>
      </w:r>
      <w:r>
        <w:rPr>
          <w:rFonts w:hint="default"/>
          <w:szCs w:val="21"/>
          <w:lang w:val="en-US" w:eastAsia="zh-CN"/>
        </w:rPr>
        <w:t>25A</w:t>
      </w:r>
      <w:r>
        <w:rPr>
          <w:rFonts w:hint="eastAsia"/>
          <w:szCs w:val="21"/>
          <w:lang w:val="en-US" w:eastAsia="zh-CN"/>
        </w:rPr>
        <w:t>。</w:t>
      </w:r>
    </w:p>
    <w:p w14:paraId="7458EED6">
      <w:pPr>
        <w:topLinePunct/>
        <w:spacing w:line="312" w:lineRule="exact"/>
        <w:ind w:firstLine="420"/>
        <w:rPr>
          <w:rFonts w:hint="default" w:eastAsia="宋体"/>
          <w:szCs w:val="21"/>
          <w:lang w:val="en-US" w:eastAsia="zh-CN"/>
        </w:rPr>
      </w:pPr>
      <w:r>
        <w:rPr>
          <w:rFonts w:hint="eastAsia"/>
          <w:szCs w:val="21"/>
        </w:rPr>
        <w:t>c）</w:t>
      </w:r>
      <w:r>
        <w:rPr>
          <w:rFonts w:hint="eastAsia"/>
          <w:szCs w:val="21"/>
          <w:lang w:eastAsia="zh-CN"/>
        </w:rPr>
        <w:t>：</w:t>
      </w:r>
      <w:r>
        <w:rPr>
          <w:rFonts w:hint="eastAsia"/>
          <w:szCs w:val="21"/>
          <w:lang w:val="en-US" w:eastAsia="zh-CN"/>
        </w:rPr>
        <w:t>A类电源</w:t>
      </w:r>
    </w:p>
    <w:p w14:paraId="5F3273A7">
      <w:pPr>
        <w:topLinePunct/>
        <w:spacing w:line="312" w:lineRule="exact"/>
        <w:ind w:firstLine="420" w:firstLineChars="200"/>
        <w:rPr>
          <w:rFonts w:hint="eastAsia"/>
          <w:szCs w:val="21"/>
          <w:lang w:val="en-US" w:eastAsia="zh-CN"/>
        </w:rPr>
      </w:pPr>
      <w:r>
        <w:rPr>
          <w:rFonts w:hint="eastAsia"/>
          <w:szCs w:val="21"/>
          <w:lang w:val="en-US" w:eastAsia="zh-CN"/>
        </w:rPr>
        <w:t>输出电压电流：</w:t>
      </w:r>
      <w:r>
        <w:rPr>
          <w:rFonts w:hint="default"/>
          <w:szCs w:val="21"/>
          <w:lang w:val="en-US" w:eastAsia="zh-CN"/>
        </w:rPr>
        <w:t>V1</w:t>
      </w:r>
      <w:r>
        <w:rPr>
          <w:rFonts w:hint="eastAsia"/>
          <w:szCs w:val="21"/>
          <w:lang w:val="en-US" w:eastAsia="zh-CN"/>
        </w:rPr>
        <w:t>：</w:t>
      </w:r>
      <w:r>
        <w:rPr>
          <w:rFonts w:hint="default"/>
          <w:szCs w:val="21"/>
          <w:lang w:val="en-US" w:eastAsia="zh-CN"/>
        </w:rPr>
        <w:t>5V/0.6A</w:t>
      </w:r>
      <w:r>
        <w:rPr>
          <w:rFonts w:hint="eastAsia"/>
          <w:szCs w:val="21"/>
          <w:lang w:val="en-US" w:eastAsia="zh-CN"/>
        </w:rPr>
        <w:t>；</w:t>
      </w:r>
      <w:r>
        <w:rPr>
          <w:rFonts w:hint="default"/>
          <w:szCs w:val="21"/>
          <w:lang w:val="en-US" w:eastAsia="zh-CN"/>
        </w:rPr>
        <w:t>V2</w:t>
      </w:r>
      <w:r>
        <w:rPr>
          <w:rFonts w:hint="eastAsia"/>
          <w:szCs w:val="21"/>
          <w:lang w:val="en-US" w:eastAsia="zh-CN"/>
        </w:rPr>
        <w:t>：</w:t>
      </w:r>
      <w:r>
        <w:rPr>
          <w:rFonts w:hint="default"/>
          <w:szCs w:val="21"/>
          <w:lang w:val="en-US" w:eastAsia="zh-CN"/>
        </w:rPr>
        <w:t>5V/0.</w:t>
      </w:r>
      <w:r>
        <w:rPr>
          <w:rFonts w:hint="eastAsia"/>
          <w:szCs w:val="21"/>
          <w:lang w:val="en-US" w:eastAsia="zh-CN"/>
        </w:rPr>
        <w:t>6</w:t>
      </w:r>
      <w:r>
        <w:rPr>
          <w:rFonts w:hint="default"/>
          <w:szCs w:val="21"/>
          <w:lang w:val="en-US" w:eastAsia="zh-CN"/>
        </w:rPr>
        <w:t>A</w:t>
      </w:r>
      <w:r>
        <w:rPr>
          <w:rFonts w:hint="eastAsia"/>
          <w:szCs w:val="21"/>
          <w:lang w:val="en-US" w:eastAsia="zh-CN"/>
        </w:rPr>
        <w:t>；</w:t>
      </w:r>
      <w:r>
        <w:rPr>
          <w:rFonts w:hint="default"/>
          <w:szCs w:val="21"/>
          <w:lang w:val="en-US" w:eastAsia="zh-CN"/>
        </w:rPr>
        <w:t>V3</w:t>
      </w:r>
      <w:r>
        <w:rPr>
          <w:rFonts w:hint="eastAsia"/>
          <w:szCs w:val="21"/>
          <w:lang w:val="en-US" w:eastAsia="zh-CN"/>
        </w:rPr>
        <w:t>：</w:t>
      </w:r>
      <w:r>
        <w:rPr>
          <w:rFonts w:hint="default"/>
          <w:szCs w:val="21"/>
          <w:lang w:val="en-US" w:eastAsia="zh-CN"/>
        </w:rPr>
        <w:t>24V/0.06A</w:t>
      </w:r>
      <w:r>
        <w:rPr>
          <w:rFonts w:hint="eastAsia"/>
          <w:szCs w:val="21"/>
          <w:lang w:val="en-US" w:eastAsia="zh-CN"/>
        </w:rPr>
        <w:t>；</w:t>
      </w:r>
      <w:r>
        <w:rPr>
          <w:rFonts w:hint="default"/>
          <w:szCs w:val="21"/>
          <w:lang w:val="en-US" w:eastAsia="zh-CN"/>
        </w:rPr>
        <w:t>(V1</w:t>
      </w:r>
      <w:r>
        <w:rPr>
          <w:rFonts w:hint="eastAsia"/>
          <w:szCs w:val="21"/>
          <w:lang w:val="en-US" w:eastAsia="zh-CN"/>
        </w:rPr>
        <w:t>、</w:t>
      </w:r>
      <w:r>
        <w:rPr>
          <w:rFonts w:hint="default"/>
          <w:szCs w:val="21"/>
          <w:lang w:val="en-US" w:eastAsia="zh-CN"/>
        </w:rPr>
        <w:t>V2</w:t>
      </w:r>
      <w:r>
        <w:rPr>
          <w:rFonts w:hint="eastAsia"/>
          <w:szCs w:val="21"/>
          <w:lang w:val="en-US" w:eastAsia="zh-CN"/>
        </w:rPr>
        <w:t>、</w:t>
      </w:r>
      <w:r>
        <w:rPr>
          <w:rFonts w:hint="default"/>
          <w:szCs w:val="21"/>
          <w:lang w:val="en-US" w:eastAsia="zh-CN"/>
        </w:rPr>
        <w:t xml:space="preserve">V3 </w:t>
      </w:r>
      <w:r>
        <w:rPr>
          <w:rFonts w:hint="eastAsia"/>
          <w:szCs w:val="21"/>
          <w:lang w:val="en-US" w:eastAsia="zh-CN"/>
        </w:rPr>
        <w:t>隔离地</w:t>
      </w:r>
      <w:r>
        <w:rPr>
          <w:rFonts w:hint="default"/>
          <w:szCs w:val="21"/>
          <w:lang w:val="en-US" w:eastAsia="zh-CN"/>
        </w:rPr>
        <w:t>)</w:t>
      </w:r>
      <w:r>
        <w:rPr>
          <w:rFonts w:hint="eastAsia"/>
          <w:szCs w:val="21"/>
          <w:lang w:val="en-US" w:eastAsia="zh-CN"/>
        </w:rPr>
        <w:t>。</w:t>
      </w:r>
    </w:p>
    <w:p w14:paraId="290D168C">
      <w:pPr>
        <w:topLinePunct/>
        <w:spacing w:line="312" w:lineRule="exact"/>
        <w:ind w:firstLine="420"/>
        <w:rPr>
          <w:rFonts w:hint="eastAsia"/>
          <w:szCs w:val="21"/>
          <w:lang w:val="en-US" w:eastAsia="zh-CN"/>
        </w:rPr>
      </w:pPr>
      <w:r>
        <w:rPr>
          <w:rFonts w:hint="eastAsia"/>
          <w:szCs w:val="21"/>
          <w:lang w:val="en-US" w:eastAsia="zh-CN"/>
        </w:rPr>
        <w:t>输出电压精度：</w:t>
      </w:r>
      <w:r>
        <w:rPr>
          <w:rFonts w:hint="default"/>
          <w:szCs w:val="21"/>
          <w:lang w:val="en-US" w:eastAsia="zh-CN"/>
        </w:rPr>
        <w:t>V1</w:t>
      </w:r>
      <w:r>
        <w:rPr>
          <w:rFonts w:hint="eastAsia"/>
          <w:szCs w:val="21"/>
          <w:lang w:val="en-US" w:eastAsia="zh-CN"/>
        </w:rPr>
        <w:t>：</w:t>
      </w:r>
      <w:r>
        <w:rPr>
          <w:rFonts w:hint="default"/>
          <w:szCs w:val="21"/>
          <w:lang w:val="en-US" w:eastAsia="zh-CN"/>
        </w:rPr>
        <w:t>±1</w:t>
      </w:r>
      <w:r>
        <w:rPr>
          <w:rFonts w:hint="eastAsia"/>
          <w:szCs w:val="21"/>
          <w:lang w:val="en-US" w:eastAsia="zh-CN"/>
        </w:rPr>
        <w:t>％；</w:t>
      </w:r>
      <w:r>
        <w:rPr>
          <w:rFonts w:hint="default"/>
          <w:szCs w:val="21"/>
          <w:lang w:val="en-US" w:eastAsia="zh-CN"/>
        </w:rPr>
        <w:t>V2</w:t>
      </w:r>
      <w:r>
        <w:rPr>
          <w:rFonts w:hint="eastAsia"/>
          <w:szCs w:val="21"/>
          <w:lang w:val="en-US" w:eastAsia="zh-CN"/>
        </w:rPr>
        <w:t>：</w:t>
      </w:r>
      <w:r>
        <w:rPr>
          <w:rFonts w:hint="default"/>
          <w:szCs w:val="21"/>
          <w:lang w:val="en-US" w:eastAsia="zh-CN"/>
        </w:rPr>
        <w:t>±5</w:t>
      </w:r>
      <w:r>
        <w:rPr>
          <w:rFonts w:hint="eastAsia"/>
          <w:szCs w:val="21"/>
          <w:lang w:val="en-US" w:eastAsia="zh-CN"/>
        </w:rPr>
        <w:t>％；</w:t>
      </w:r>
      <w:r>
        <w:rPr>
          <w:rFonts w:hint="default"/>
          <w:szCs w:val="21"/>
          <w:lang w:val="en-US" w:eastAsia="zh-CN"/>
        </w:rPr>
        <w:t>V3</w:t>
      </w:r>
      <w:r>
        <w:rPr>
          <w:rFonts w:hint="eastAsia"/>
          <w:szCs w:val="21"/>
          <w:lang w:val="en-US" w:eastAsia="zh-CN"/>
        </w:rPr>
        <w:t>：</w:t>
      </w:r>
      <w:r>
        <w:rPr>
          <w:rFonts w:hint="default"/>
          <w:szCs w:val="21"/>
          <w:lang w:val="en-US" w:eastAsia="zh-CN"/>
        </w:rPr>
        <w:t>±5</w:t>
      </w:r>
      <w:r>
        <w:rPr>
          <w:rFonts w:hint="eastAsia"/>
          <w:szCs w:val="21"/>
          <w:lang w:val="en-US" w:eastAsia="zh-CN"/>
        </w:rPr>
        <w:t>％。</w:t>
      </w:r>
    </w:p>
    <w:p w14:paraId="50E0A675">
      <w:pPr>
        <w:topLinePunct/>
        <w:spacing w:line="312" w:lineRule="exact"/>
        <w:ind w:firstLine="420"/>
        <w:rPr>
          <w:rFonts w:hint="eastAsia"/>
          <w:szCs w:val="21"/>
          <w:lang w:val="en-US" w:eastAsia="zh-CN"/>
        </w:rPr>
      </w:pPr>
      <w:r>
        <w:rPr>
          <w:rFonts w:hint="eastAsia"/>
          <w:szCs w:val="21"/>
          <w:lang w:val="en-US" w:eastAsia="zh-CN"/>
        </w:rPr>
        <w:t>输出纹波</w:t>
      </w:r>
      <w:r>
        <w:rPr>
          <w:rFonts w:hint="default"/>
          <w:szCs w:val="21"/>
          <w:lang w:val="en-US" w:eastAsia="zh-CN"/>
        </w:rPr>
        <w:t>+</w:t>
      </w:r>
      <w:r>
        <w:rPr>
          <w:rFonts w:hint="eastAsia"/>
          <w:szCs w:val="21"/>
          <w:lang w:val="en-US" w:eastAsia="zh-CN"/>
        </w:rPr>
        <w:t>噪声</w:t>
      </w:r>
      <w:r>
        <w:rPr>
          <w:rFonts w:hint="default"/>
          <w:szCs w:val="21"/>
          <w:lang w:val="en-US" w:eastAsia="zh-CN"/>
        </w:rPr>
        <w:t xml:space="preserve">(20MHz </w:t>
      </w:r>
      <w:r>
        <w:rPr>
          <w:rFonts w:hint="eastAsia"/>
          <w:szCs w:val="21"/>
          <w:lang w:val="en-US" w:eastAsia="zh-CN"/>
        </w:rPr>
        <w:t>带宽示波器测量</w:t>
      </w:r>
      <w:r>
        <w:rPr>
          <w:rFonts w:hint="default"/>
          <w:szCs w:val="21"/>
          <w:lang w:val="en-US" w:eastAsia="zh-CN"/>
        </w:rPr>
        <w:t>)</w:t>
      </w:r>
      <w:r>
        <w:rPr>
          <w:rFonts w:hint="eastAsia"/>
          <w:szCs w:val="21"/>
          <w:lang w:val="en-US" w:eastAsia="zh-CN"/>
        </w:rPr>
        <w:t>：</w:t>
      </w:r>
      <w:r>
        <w:rPr>
          <w:rFonts w:hint="default"/>
          <w:szCs w:val="21"/>
          <w:lang w:val="en-US" w:eastAsia="zh-CN"/>
        </w:rPr>
        <w:t>V1≤100mV</w:t>
      </w:r>
      <w:r>
        <w:rPr>
          <w:rFonts w:hint="eastAsia"/>
          <w:szCs w:val="21"/>
          <w:lang w:val="en-US" w:eastAsia="zh-CN"/>
        </w:rPr>
        <w:t>；</w:t>
      </w:r>
      <w:r>
        <w:rPr>
          <w:rFonts w:hint="default"/>
          <w:szCs w:val="21"/>
          <w:lang w:val="en-US" w:eastAsia="zh-CN"/>
        </w:rPr>
        <w:t>V2≤100mV</w:t>
      </w:r>
      <w:r>
        <w:rPr>
          <w:rFonts w:hint="eastAsia"/>
          <w:szCs w:val="21"/>
          <w:lang w:val="en-US" w:eastAsia="zh-CN"/>
        </w:rPr>
        <w:t>；</w:t>
      </w:r>
      <w:r>
        <w:rPr>
          <w:rFonts w:hint="default"/>
          <w:szCs w:val="21"/>
          <w:lang w:val="en-US" w:eastAsia="zh-CN"/>
        </w:rPr>
        <w:t>V3≤240mV</w:t>
      </w:r>
    </w:p>
    <w:p w14:paraId="486AC0C4">
      <w:pPr>
        <w:topLinePunct/>
        <w:spacing w:line="312" w:lineRule="exact"/>
        <w:ind w:firstLine="420"/>
        <w:rPr>
          <w:rFonts w:hint="default"/>
          <w:szCs w:val="21"/>
          <w:lang w:val="en-US" w:eastAsia="zh-CN"/>
        </w:rPr>
      </w:pPr>
      <w:r>
        <w:rPr>
          <w:rFonts w:hint="eastAsia"/>
          <w:szCs w:val="21"/>
        </w:rPr>
        <w:t>d）</w:t>
      </w:r>
      <w:r>
        <w:rPr>
          <w:rFonts w:hint="eastAsia"/>
          <w:szCs w:val="21"/>
          <w:lang w:val="en-US" w:eastAsia="zh-CN"/>
        </w:rPr>
        <w:t>：B类电源</w:t>
      </w:r>
    </w:p>
    <w:p w14:paraId="43F4DF2C">
      <w:pPr>
        <w:topLinePunct/>
        <w:spacing w:line="312" w:lineRule="exact"/>
        <w:ind w:firstLine="420"/>
        <w:rPr>
          <w:rFonts w:hint="eastAsia"/>
          <w:szCs w:val="21"/>
        </w:rPr>
      </w:pPr>
      <w:r>
        <w:rPr>
          <w:rFonts w:hint="eastAsia"/>
          <w:szCs w:val="21"/>
          <w:lang w:val="en-US" w:eastAsia="zh-CN"/>
        </w:rPr>
        <w:t>输出电压电流：</w:t>
      </w:r>
      <w:r>
        <w:rPr>
          <w:rFonts w:hint="default"/>
          <w:szCs w:val="21"/>
          <w:lang w:val="en-US" w:eastAsia="zh-CN"/>
        </w:rPr>
        <w:t>V</w:t>
      </w:r>
      <w:r>
        <w:rPr>
          <w:rFonts w:hint="eastAsia"/>
          <w:szCs w:val="21"/>
          <w:lang w:val="en-US" w:eastAsia="zh-CN"/>
        </w:rPr>
        <w:t>out</w:t>
      </w:r>
      <w:r>
        <w:rPr>
          <w:rFonts w:hint="default"/>
          <w:szCs w:val="21"/>
          <w:lang w:val="en-US" w:eastAsia="zh-CN"/>
        </w:rPr>
        <w:t>1</w:t>
      </w:r>
      <w:r>
        <w:rPr>
          <w:rFonts w:hint="eastAsia"/>
          <w:szCs w:val="21"/>
          <w:lang w:val="en-US" w:eastAsia="zh-CN"/>
        </w:rPr>
        <w:t>：</w:t>
      </w:r>
      <w:r>
        <w:rPr>
          <w:rFonts w:hint="default"/>
          <w:szCs w:val="21"/>
          <w:lang w:val="en-US" w:eastAsia="zh-CN"/>
        </w:rPr>
        <w:t>5V</w:t>
      </w:r>
      <w:r>
        <w:rPr>
          <w:rFonts w:hint="eastAsia"/>
          <w:szCs w:val="21"/>
          <w:lang w:val="en-US" w:eastAsia="zh-CN"/>
        </w:rPr>
        <w:t>；</w:t>
      </w:r>
      <w:r>
        <w:rPr>
          <w:rFonts w:hint="default"/>
          <w:szCs w:val="21"/>
          <w:lang w:val="en-US" w:eastAsia="zh-CN"/>
        </w:rPr>
        <w:t>V</w:t>
      </w:r>
      <w:r>
        <w:rPr>
          <w:rFonts w:hint="eastAsia"/>
          <w:szCs w:val="21"/>
          <w:lang w:val="en-US" w:eastAsia="zh-CN"/>
        </w:rPr>
        <w:t>out2：</w:t>
      </w:r>
      <w:r>
        <w:rPr>
          <w:rFonts w:hint="default"/>
          <w:szCs w:val="21"/>
          <w:lang w:val="en-US" w:eastAsia="zh-CN"/>
        </w:rPr>
        <w:t>24V</w:t>
      </w:r>
      <w:r>
        <w:rPr>
          <w:rFonts w:hint="eastAsia"/>
          <w:szCs w:val="21"/>
          <w:lang w:val="en-US" w:eastAsia="zh-CN"/>
        </w:rPr>
        <w:t>；</w:t>
      </w:r>
      <w:r>
        <w:rPr>
          <w:rFonts w:hint="default"/>
          <w:szCs w:val="21"/>
          <w:lang w:val="en-US" w:eastAsia="zh-CN"/>
        </w:rPr>
        <w:t>(V1</w:t>
      </w:r>
      <w:r>
        <w:rPr>
          <w:rFonts w:hint="eastAsia"/>
          <w:szCs w:val="21"/>
          <w:lang w:val="en-US" w:eastAsia="zh-CN"/>
        </w:rPr>
        <w:t>、</w:t>
      </w:r>
      <w:r>
        <w:rPr>
          <w:rFonts w:hint="default"/>
          <w:szCs w:val="21"/>
          <w:lang w:val="en-US" w:eastAsia="zh-CN"/>
        </w:rPr>
        <w:t>V2</w:t>
      </w:r>
      <w:r>
        <w:rPr>
          <w:rFonts w:hint="eastAsia"/>
          <w:szCs w:val="21"/>
          <w:lang w:val="en-US" w:eastAsia="zh-CN"/>
        </w:rPr>
        <w:t>隔离地</w:t>
      </w:r>
      <w:r>
        <w:rPr>
          <w:rFonts w:hint="default"/>
          <w:szCs w:val="21"/>
          <w:lang w:val="en-US" w:eastAsia="zh-CN"/>
        </w:rPr>
        <w:t>)</w:t>
      </w:r>
      <w:r>
        <w:rPr>
          <w:rFonts w:hint="eastAsia"/>
          <w:szCs w:val="21"/>
          <w:lang w:val="en-US" w:eastAsia="zh-CN"/>
        </w:rPr>
        <w:t>。</w:t>
      </w:r>
    </w:p>
    <w:p w14:paraId="14F77559">
      <w:pPr>
        <w:topLinePunct/>
        <w:spacing w:line="312" w:lineRule="exact"/>
        <w:ind w:firstLine="420"/>
        <w:rPr>
          <w:rFonts w:hint="eastAsia"/>
          <w:szCs w:val="21"/>
          <w:lang w:val="en-US" w:eastAsia="zh-CN"/>
        </w:rPr>
      </w:pPr>
      <w:r>
        <w:rPr>
          <w:rFonts w:hint="eastAsia"/>
          <w:szCs w:val="21"/>
          <w:lang w:val="en-US" w:eastAsia="zh-CN"/>
        </w:rPr>
        <w:t>输出电压精度：</w:t>
      </w:r>
      <w:r>
        <w:rPr>
          <w:rFonts w:hint="default"/>
          <w:szCs w:val="21"/>
          <w:lang w:val="en-US" w:eastAsia="zh-CN"/>
        </w:rPr>
        <w:t>V</w:t>
      </w:r>
      <w:r>
        <w:rPr>
          <w:rFonts w:hint="eastAsia"/>
          <w:szCs w:val="21"/>
          <w:lang w:val="en-US" w:eastAsia="zh-CN"/>
        </w:rPr>
        <w:t>out</w:t>
      </w:r>
      <w:r>
        <w:rPr>
          <w:rFonts w:hint="default"/>
          <w:szCs w:val="21"/>
          <w:lang w:val="en-US" w:eastAsia="zh-CN"/>
        </w:rPr>
        <w:t>1</w:t>
      </w:r>
      <w:r>
        <w:rPr>
          <w:rFonts w:hint="eastAsia"/>
          <w:szCs w:val="21"/>
          <w:lang w:val="en-US" w:eastAsia="zh-CN"/>
        </w:rPr>
        <w:t>：</w:t>
      </w:r>
      <w:r>
        <w:rPr>
          <w:rFonts w:hint="default"/>
          <w:szCs w:val="21"/>
          <w:lang w:val="en-US" w:eastAsia="zh-CN"/>
        </w:rPr>
        <w:t>±</w:t>
      </w:r>
      <w:r>
        <w:rPr>
          <w:rFonts w:hint="eastAsia"/>
          <w:szCs w:val="21"/>
          <w:lang w:val="en-US" w:eastAsia="zh-CN"/>
        </w:rPr>
        <w:t>2％；</w:t>
      </w:r>
      <w:r>
        <w:rPr>
          <w:rFonts w:hint="default"/>
          <w:szCs w:val="21"/>
          <w:lang w:val="en-US" w:eastAsia="zh-CN"/>
        </w:rPr>
        <w:t>V</w:t>
      </w:r>
      <w:r>
        <w:rPr>
          <w:rFonts w:hint="eastAsia"/>
          <w:szCs w:val="21"/>
          <w:lang w:val="en-US" w:eastAsia="zh-CN"/>
        </w:rPr>
        <w:t>out</w:t>
      </w:r>
      <w:r>
        <w:rPr>
          <w:rFonts w:hint="default"/>
          <w:szCs w:val="21"/>
          <w:lang w:val="en-US" w:eastAsia="zh-CN"/>
        </w:rPr>
        <w:t>2</w:t>
      </w:r>
      <w:r>
        <w:rPr>
          <w:rFonts w:hint="eastAsia"/>
          <w:szCs w:val="21"/>
          <w:lang w:val="en-US" w:eastAsia="zh-CN"/>
        </w:rPr>
        <w:t>：</w:t>
      </w:r>
      <w:r>
        <w:rPr>
          <w:rFonts w:hint="default"/>
          <w:szCs w:val="21"/>
          <w:lang w:val="en-US" w:eastAsia="zh-CN"/>
        </w:rPr>
        <w:t>±</w:t>
      </w:r>
      <w:r>
        <w:rPr>
          <w:rFonts w:hint="eastAsia"/>
          <w:szCs w:val="21"/>
          <w:lang w:val="en-US" w:eastAsia="zh-CN"/>
        </w:rPr>
        <w:t>2％。</w:t>
      </w:r>
    </w:p>
    <w:p w14:paraId="132F5295">
      <w:pPr>
        <w:topLinePunct/>
        <w:spacing w:line="312" w:lineRule="exact"/>
        <w:ind w:firstLine="420"/>
        <w:rPr>
          <w:rFonts w:hint="eastAsia"/>
          <w:szCs w:val="21"/>
          <w:lang w:val="en-US" w:eastAsia="zh-CN"/>
        </w:rPr>
      </w:pPr>
      <w:r>
        <w:rPr>
          <w:rFonts w:hint="eastAsia"/>
          <w:szCs w:val="21"/>
          <w:lang w:val="en-US" w:eastAsia="zh-CN"/>
        </w:rPr>
        <w:t>输出电流范围：</w:t>
      </w:r>
      <w:r>
        <w:rPr>
          <w:rFonts w:hint="default"/>
          <w:szCs w:val="21"/>
          <w:lang w:val="en-US" w:eastAsia="zh-CN"/>
        </w:rPr>
        <w:t>V</w:t>
      </w:r>
      <w:r>
        <w:rPr>
          <w:rFonts w:hint="eastAsia"/>
          <w:szCs w:val="21"/>
          <w:lang w:val="en-US" w:eastAsia="zh-CN"/>
        </w:rPr>
        <w:t>out</w:t>
      </w:r>
      <w:r>
        <w:rPr>
          <w:rFonts w:hint="default"/>
          <w:szCs w:val="21"/>
          <w:lang w:val="en-US" w:eastAsia="zh-CN"/>
        </w:rPr>
        <w:t>1</w:t>
      </w:r>
      <w:r>
        <w:rPr>
          <w:rFonts w:hint="eastAsia"/>
          <w:szCs w:val="21"/>
          <w:lang w:val="en-US" w:eastAsia="zh-CN"/>
        </w:rPr>
        <w:t>：0---2.0A；Vout2：0---0.2A。</w:t>
      </w:r>
    </w:p>
    <w:p w14:paraId="4F04365D">
      <w:pPr>
        <w:topLinePunct/>
        <w:spacing w:line="312" w:lineRule="exact"/>
        <w:ind w:firstLine="420"/>
        <w:rPr>
          <w:rFonts w:hint="eastAsia"/>
          <w:szCs w:val="21"/>
          <w:lang w:val="en-US" w:eastAsia="zh-CN"/>
        </w:rPr>
      </w:pPr>
      <w:r>
        <w:rPr>
          <w:rFonts w:hint="eastAsia"/>
          <w:szCs w:val="21"/>
          <w:lang w:val="en-US" w:eastAsia="zh-CN"/>
        </w:rPr>
        <w:t>输出纹波</w:t>
      </w:r>
      <w:r>
        <w:rPr>
          <w:rFonts w:hint="default"/>
          <w:szCs w:val="21"/>
          <w:lang w:val="en-US" w:eastAsia="zh-CN"/>
        </w:rPr>
        <w:t>+</w:t>
      </w:r>
      <w:r>
        <w:rPr>
          <w:rFonts w:hint="eastAsia"/>
          <w:szCs w:val="21"/>
          <w:lang w:val="en-US" w:eastAsia="zh-CN"/>
        </w:rPr>
        <w:t>噪声</w:t>
      </w:r>
      <w:r>
        <w:rPr>
          <w:rFonts w:hint="default"/>
          <w:szCs w:val="21"/>
          <w:lang w:val="en-US" w:eastAsia="zh-CN"/>
        </w:rPr>
        <w:t xml:space="preserve">(20MHz </w:t>
      </w:r>
      <w:r>
        <w:rPr>
          <w:rFonts w:hint="eastAsia"/>
          <w:szCs w:val="21"/>
          <w:lang w:val="en-US" w:eastAsia="zh-CN"/>
        </w:rPr>
        <w:t>带宽示波器测量</w:t>
      </w:r>
      <w:r>
        <w:rPr>
          <w:rFonts w:hint="default"/>
          <w:szCs w:val="21"/>
          <w:lang w:val="en-US" w:eastAsia="zh-CN"/>
        </w:rPr>
        <w:t>)</w:t>
      </w:r>
      <w:r>
        <w:rPr>
          <w:rFonts w:hint="eastAsia"/>
          <w:szCs w:val="21"/>
          <w:lang w:val="en-US" w:eastAsia="zh-CN"/>
        </w:rPr>
        <w:t>：</w:t>
      </w:r>
      <w:r>
        <w:rPr>
          <w:rFonts w:hint="default"/>
          <w:szCs w:val="21"/>
          <w:lang w:val="en-US" w:eastAsia="zh-CN"/>
        </w:rPr>
        <w:t>V1≤100mV</w:t>
      </w:r>
      <w:r>
        <w:rPr>
          <w:rFonts w:hint="eastAsia"/>
          <w:szCs w:val="21"/>
          <w:lang w:val="en-US" w:eastAsia="zh-CN"/>
        </w:rPr>
        <w:t>；</w:t>
      </w:r>
      <w:r>
        <w:rPr>
          <w:rFonts w:hint="default"/>
          <w:szCs w:val="21"/>
          <w:lang w:val="en-US" w:eastAsia="zh-CN"/>
        </w:rPr>
        <w:t>V</w:t>
      </w:r>
      <w:r>
        <w:rPr>
          <w:rFonts w:hint="eastAsia"/>
          <w:szCs w:val="21"/>
          <w:lang w:val="en-US" w:eastAsia="zh-CN"/>
        </w:rPr>
        <w:t>2</w:t>
      </w:r>
      <w:r>
        <w:rPr>
          <w:rFonts w:hint="default"/>
          <w:szCs w:val="21"/>
          <w:lang w:val="en-US" w:eastAsia="zh-CN"/>
        </w:rPr>
        <w:t xml:space="preserve">≤240mV </w:t>
      </w:r>
      <w:r>
        <w:rPr>
          <w:rFonts w:hint="eastAsia"/>
          <w:szCs w:val="21"/>
          <w:lang w:val="en-US" w:eastAsia="zh-CN"/>
        </w:rPr>
        <w:t>。</w:t>
      </w:r>
    </w:p>
    <w:p w14:paraId="78077503">
      <w:pPr>
        <w:topLinePunct/>
        <w:spacing w:line="312" w:lineRule="exact"/>
        <w:ind w:firstLine="420"/>
        <w:rPr>
          <w:rFonts w:hint="eastAsia" w:eastAsia="宋体"/>
          <w:szCs w:val="21"/>
          <w:lang w:eastAsia="zh-CN"/>
        </w:rPr>
      </w:pPr>
      <w:r>
        <w:rPr>
          <w:rFonts w:hint="eastAsia"/>
          <w:szCs w:val="21"/>
        </w:rPr>
        <w:t>e）</w:t>
      </w:r>
      <w:r>
        <w:rPr>
          <w:rFonts w:hint="eastAsia"/>
          <w:szCs w:val="21"/>
          <w:lang w:eastAsia="zh-CN"/>
        </w:rPr>
        <w:t>：</w:t>
      </w:r>
      <w:r>
        <w:rPr>
          <w:rFonts w:hint="eastAsia"/>
          <w:szCs w:val="21"/>
          <w:lang w:val="en-US" w:eastAsia="zh-CN"/>
        </w:rPr>
        <w:t>C类电源</w:t>
      </w:r>
    </w:p>
    <w:p w14:paraId="46786261">
      <w:pPr>
        <w:topLinePunct/>
        <w:spacing w:line="312" w:lineRule="exact"/>
        <w:ind w:firstLine="420"/>
        <w:rPr>
          <w:rFonts w:hint="eastAsia"/>
          <w:szCs w:val="21"/>
          <w:lang w:val="en-US" w:eastAsia="zh-CN"/>
        </w:rPr>
      </w:pPr>
      <w:r>
        <w:rPr>
          <w:rFonts w:hint="eastAsia"/>
          <w:szCs w:val="21"/>
          <w:lang w:val="en-US" w:eastAsia="zh-CN"/>
        </w:rPr>
        <w:t>输出电压电流：</w:t>
      </w:r>
      <w:r>
        <w:rPr>
          <w:rFonts w:hint="default"/>
          <w:szCs w:val="21"/>
          <w:lang w:val="en-US" w:eastAsia="zh-CN"/>
        </w:rPr>
        <w:t>V1</w:t>
      </w:r>
      <w:r>
        <w:rPr>
          <w:rFonts w:hint="eastAsia"/>
          <w:szCs w:val="21"/>
          <w:lang w:val="en-US" w:eastAsia="zh-CN"/>
        </w:rPr>
        <w:t>：</w:t>
      </w:r>
      <w:r>
        <w:rPr>
          <w:rFonts w:hint="default"/>
          <w:szCs w:val="21"/>
          <w:lang w:val="en-US" w:eastAsia="zh-CN"/>
        </w:rPr>
        <w:t>5V/</w:t>
      </w:r>
      <w:r>
        <w:rPr>
          <w:rFonts w:hint="eastAsia"/>
          <w:szCs w:val="21"/>
          <w:lang w:val="en-US" w:eastAsia="zh-CN"/>
        </w:rPr>
        <w:t>3</w:t>
      </w:r>
      <w:r>
        <w:rPr>
          <w:rFonts w:hint="default"/>
          <w:szCs w:val="21"/>
          <w:lang w:val="en-US" w:eastAsia="zh-CN"/>
        </w:rPr>
        <w:t>A</w:t>
      </w:r>
      <w:r>
        <w:rPr>
          <w:rFonts w:hint="eastAsia"/>
          <w:szCs w:val="21"/>
          <w:lang w:val="en-US" w:eastAsia="zh-CN"/>
        </w:rPr>
        <w:t>；</w:t>
      </w:r>
      <w:r>
        <w:rPr>
          <w:rFonts w:hint="default"/>
          <w:szCs w:val="21"/>
          <w:lang w:val="en-US" w:eastAsia="zh-CN"/>
        </w:rPr>
        <w:t>V2</w:t>
      </w:r>
      <w:r>
        <w:rPr>
          <w:rFonts w:hint="eastAsia"/>
          <w:szCs w:val="21"/>
          <w:lang w:val="en-US" w:eastAsia="zh-CN"/>
        </w:rPr>
        <w:t>：24</w:t>
      </w:r>
      <w:r>
        <w:rPr>
          <w:rFonts w:hint="default"/>
          <w:szCs w:val="21"/>
          <w:lang w:val="en-US" w:eastAsia="zh-CN"/>
        </w:rPr>
        <w:t>V/0.</w:t>
      </w:r>
      <w:r>
        <w:rPr>
          <w:rFonts w:hint="eastAsia"/>
          <w:szCs w:val="21"/>
          <w:lang w:val="en-US" w:eastAsia="zh-CN"/>
        </w:rPr>
        <w:t>5</w:t>
      </w:r>
      <w:r>
        <w:rPr>
          <w:rFonts w:hint="default"/>
          <w:szCs w:val="21"/>
          <w:lang w:val="en-US" w:eastAsia="zh-CN"/>
        </w:rPr>
        <w:t>A</w:t>
      </w:r>
      <w:r>
        <w:rPr>
          <w:rFonts w:hint="eastAsia"/>
          <w:szCs w:val="21"/>
          <w:lang w:val="en-US" w:eastAsia="zh-CN"/>
        </w:rPr>
        <w:t>；</w:t>
      </w:r>
      <w:r>
        <w:rPr>
          <w:rFonts w:hint="default"/>
          <w:szCs w:val="21"/>
          <w:lang w:val="en-US" w:eastAsia="zh-CN"/>
        </w:rPr>
        <w:t>V3</w:t>
      </w:r>
      <w:r>
        <w:rPr>
          <w:rFonts w:hint="eastAsia"/>
          <w:szCs w:val="21"/>
          <w:lang w:val="en-US" w:eastAsia="zh-CN"/>
        </w:rPr>
        <w:t>：5</w:t>
      </w:r>
      <w:r>
        <w:rPr>
          <w:rFonts w:hint="default"/>
          <w:szCs w:val="21"/>
          <w:lang w:val="en-US" w:eastAsia="zh-CN"/>
        </w:rPr>
        <w:t>V/0.</w:t>
      </w:r>
      <w:r>
        <w:rPr>
          <w:rFonts w:hint="eastAsia"/>
          <w:szCs w:val="21"/>
          <w:lang w:val="en-US" w:eastAsia="zh-CN"/>
        </w:rPr>
        <w:t>2</w:t>
      </w:r>
      <w:r>
        <w:rPr>
          <w:rFonts w:hint="default"/>
          <w:szCs w:val="21"/>
          <w:lang w:val="en-US" w:eastAsia="zh-CN"/>
        </w:rPr>
        <w:t>A</w:t>
      </w:r>
      <w:r>
        <w:rPr>
          <w:rFonts w:hint="eastAsia"/>
          <w:szCs w:val="21"/>
          <w:lang w:val="en-US" w:eastAsia="zh-CN"/>
        </w:rPr>
        <w:t>；</w:t>
      </w:r>
      <w:r>
        <w:rPr>
          <w:rFonts w:hint="default"/>
          <w:szCs w:val="21"/>
          <w:lang w:val="en-US" w:eastAsia="zh-CN"/>
        </w:rPr>
        <w:t>(V1</w:t>
      </w:r>
      <w:r>
        <w:rPr>
          <w:rFonts w:hint="eastAsia"/>
          <w:szCs w:val="21"/>
          <w:lang w:val="en-US" w:eastAsia="zh-CN"/>
        </w:rPr>
        <w:t>、</w:t>
      </w:r>
      <w:r>
        <w:rPr>
          <w:rFonts w:hint="default"/>
          <w:szCs w:val="21"/>
          <w:lang w:val="en-US" w:eastAsia="zh-CN"/>
        </w:rPr>
        <w:t>V2</w:t>
      </w:r>
      <w:r>
        <w:rPr>
          <w:rFonts w:hint="eastAsia"/>
          <w:szCs w:val="21"/>
          <w:lang w:val="en-US" w:eastAsia="zh-CN"/>
        </w:rPr>
        <w:t>、</w:t>
      </w:r>
      <w:r>
        <w:rPr>
          <w:rFonts w:hint="default"/>
          <w:szCs w:val="21"/>
          <w:lang w:val="en-US" w:eastAsia="zh-CN"/>
        </w:rPr>
        <w:t xml:space="preserve">V3 </w:t>
      </w:r>
      <w:r>
        <w:rPr>
          <w:rFonts w:hint="eastAsia"/>
          <w:szCs w:val="21"/>
          <w:lang w:val="en-US" w:eastAsia="zh-CN"/>
        </w:rPr>
        <w:t>隔离地</w:t>
      </w:r>
      <w:r>
        <w:rPr>
          <w:rFonts w:hint="default"/>
          <w:szCs w:val="21"/>
          <w:lang w:val="en-US" w:eastAsia="zh-CN"/>
        </w:rPr>
        <w:t>)</w:t>
      </w:r>
      <w:r>
        <w:rPr>
          <w:rFonts w:hint="eastAsia"/>
          <w:szCs w:val="21"/>
          <w:lang w:val="en-US" w:eastAsia="zh-CN"/>
        </w:rPr>
        <w:t>。</w:t>
      </w:r>
    </w:p>
    <w:p w14:paraId="7902516F">
      <w:pPr>
        <w:topLinePunct/>
        <w:spacing w:line="312" w:lineRule="exact"/>
        <w:ind w:firstLine="420"/>
        <w:rPr>
          <w:rFonts w:hint="eastAsia"/>
          <w:szCs w:val="21"/>
          <w:lang w:val="en-US" w:eastAsia="zh-CN"/>
        </w:rPr>
      </w:pPr>
      <w:r>
        <w:rPr>
          <w:rFonts w:hint="eastAsia"/>
          <w:szCs w:val="21"/>
          <w:lang w:val="en-US" w:eastAsia="zh-CN"/>
        </w:rPr>
        <w:t>输出电压精度：</w:t>
      </w:r>
      <w:r>
        <w:rPr>
          <w:rFonts w:hint="default"/>
          <w:szCs w:val="21"/>
          <w:lang w:val="en-US" w:eastAsia="zh-CN"/>
        </w:rPr>
        <w:t>V1</w:t>
      </w:r>
      <w:r>
        <w:rPr>
          <w:rFonts w:hint="eastAsia"/>
          <w:szCs w:val="21"/>
          <w:lang w:val="en-US" w:eastAsia="zh-CN"/>
        </w:rPr>
        <w:t>：</w:t>
      </w:r>
      <w:r>
        <w:rPr>
          <w:rFonts w:hint="default"/>
          <w:szCs w:val="21"/>
          <w:lang w:val="en-US" w:eastAsia="zh-CN"/>
        </w:rPr>
        <w:t>±1</w:t>
      </w:r>
      <w:r>
        <w:rPr>
          <w:rFonts w:hint="eastAsia"/>
          <w:szCs w:val="21"/>
          <w:lang w:val="en-US" w:eastAsia="zh-CN"/>
        </w:rPr>
        <w:t>％；</w:t>
      </w:r>
      <w:r>
        <w:rPr>
          <w:rFonts w:hint="default"/>
          <w:szCs w:val="21"/>
          <w:lang w:val="en-US" w:eastAsia="zh-CN"/>
        </w:rPr>
        <w:t>V2</w:t>
      </w:r>
      <w:r>
        <w:rPr>
          <w:rFonts w:hint="eastAsia"/>
          <w:szCs w:val="21"/>
          <w:lang w:val="en-US" w:eastAsia="zh-CN"/>
        </w:rPr>
        <w:t>：</w:t>
      </w:r>
      <w:r>
        <w:rPr>
          <w:rFonts w:hint="default"/>
          <w:szCs w:val="21"/>
          <w:lang w:val="en-US" w:eastAsia="zh-CN"/>
        </w:rPr>
        <w:t>±5</w:t>
      </w:r>
      <w:r>
        <w:rPr>
          <w:rFonts w:hint="eastAsia"/>
          <w:szCs w:val="21"/>
          <w:lang w:val="en-US" w:eastAsia="zh-CN"/>
        </w:rPr>
        <w:t>％；</w:t>
      </w:r>
      <w:r>
        <w:rPr>
          <w:rFonts w:hint="default"/>
          <w:szCs w:val="21"/>
          <w:lang w:val="en-US" w:eastAsia="zh-CN"/>
        </w:rPr>
        <w:t>V3</w:t>
      </w:r>
      <w:r>
        <w:rPr>
          <w:rFonts w:hint="eastAsia"/>
          <w:szCs w:val="21"/>
          <w:lang w:val="en-US" w:eastAsia="zh-CN"/>
        </w:rPr>
        <w:t>：</w:t>
      </w:r>
      <w:r>
        <w:rPr>
          <w:rFonts w:hint="default"/>
          <w:szCs w:val="21"/>
          <w:lang w:val="en-US" w:eastAsia="zh-CN"/>
        </w:rPr>
        <w:t>±5</w:t>
      </w:r>
      <w:r>
        <w:rPr>
          <w:rFonts w:hint="eastAsia"/>
          <w:szCs w:val="21"/>
          <w:lang w:val="en-US" w:eastAsia="zh-CN"/>
        </w:rPr>
        <w:t>％。</w:t>
      </w:r>
    </w:p>
    <w:p w14:paraId="25927298">
      <w:pPr>
        <w:topLinePunct/>
        <w:spacing w:line="312" w:lineRule="exact"/>
        <w:ind w:firstLine="420"/>
        <w:rPr>
          <w:rFonts w:hint="eastAsia"/>
          <w:szCs w:val="21"/>
          <w:lang w:val="en-US" w:eastAsia="zh-CN"/>
        </w:rPr>
      </w:pPr>
      <w:r>
        <w:rPr>
          <w:rFonts w:hint="eastAsia"/>
          <w:szCs w:val="21"/>
        </w:rPr>
        <w:t xml:space="preserve"> </w:t>
      </w:r>
      <w:r>
        <w:rPr>
          <w:rFonts w:hint="eastAsia"/>
          <w:szCs w:val="21"/>
          <w:lang w:val="en-US" w:eastAsia="zh-CN"/>
        </w:rPr>
        <w:t>输出纹波</w:t>
      </w:r>
      <w:r>
        <w:rPr>
          <w:rFonts w:hint="default"/>
          <w:szCs w:val="21"/>
          <w:lang w:val="en-US" w:eastAsia="zh-CN"/>
        </w:rPr>
        <w:t>+</w:t>
      </w:r>
      <w:r>
        <w:rPr>
          <w:rFonts w:hint="eastAsia"/>
          <w:szCs w:val="21"/>
          <w:lang w:val="en-US" w:eastAsia="zh-CN"/>
        </w:rPr>
        <w:t>噪声</w:t>
      </w:r>
      <w:r>
        <w:rPr>
          <w:rFonts w:hint="default"/>
          <w:szCs w:val="21"/>
          <w:lang w:val="en-US" w:eastAsia="zh-CN"/>
        </w:rPr>
        <w:t xml:space="preserve">(20MHz </w:t>
      </w:r>
      <w:r>
        <w:rPr>
          <w:rFonts w:hint="eastAsia"/>
          <w:szCs w:val="21"/>
          <w:lang w:val="en-US" w:eastAsia="zh-CN"/>
        </w:rPr>
        <w:t>带宽示波器测量</w:t>
      </w:r>
      <w:r>
        <w:rPr>
          <w:rFonts w:hint="default"/>
          <w:szCs w:val="21"/>
          <w:lang w:val="en-US" w:eastAsia="zh-CN"/>
        </w:rPr>
        <w:t>)</w:t>
      </w:r>
      <w:r>
        <w:rPr>
          <w:rFonts w:hint="eastAsia"/>
          <w:szCs w:val="21"/>
          <w:lang w:val="en-US" w:eastAsia="zh-CN"/>
        </w:rPr>
        <w:t>：</w:t>
      </w:r>
      <w:r>
        <w:rPr>
          <w:rFonts w:hint="default"/>
          <w:szCs w:val="21"/>
          <w:lang w:val="en-US" w:eastAsia="zh-CN"/>
        </w:rPr>
        <w:t>V1≤100mV</w:t>
      </w:r>
      <w:r>
        <w:rPr>
          <w:rFonts w:hint="eastAsia"/>
          <w:szCs w:val="21"/>
          <w:lang w:val="en-US" w:eastAsia="zh-CN"/>
        </w:rPr>
        <w:t>；</w:t>
      </w:r>
      <w:r>
        <w:rPr>
          <w:rFonts w:hint="default"/>
          <w:szCs w:val="21"/>
          <w:lang w:val="en-US" w:eastAsia="zh-CN"/>
        </w:rPr>
        <w:t>V2≤100mV</w:t>
      </w:r>
      <w:r>
        <w:rPr>
          <w:rFonts w:hint="eastAsia"/>
          <w:szCs w:val="21"/>
          <w:lang w:val="en-US" w:eastAsia="zh-CN"/>
        </w:rPr>
        <w:t>；</w:t>
      </w:r>
      <w:r>
        <w:rPr>
          <w:rFonts w:hint="default"/>
          <w:szCs w:val="21"/>
          <w:lang w:val="en-US" w:eastAsia="zh-CN"/>
        </w:rPr>
        <w:t>V3≤</w:t>
      </w:r>
      <w:r>
        <w:rPr>
          <w:rFonts w:hint="eastAsia"/>
          <w:szCs w:val="21"/>
          <w:lang w:val="en-US" w:eastAsia="zh-CN"/>
        </w:rPr>
        <w:t>100</w:t>
      </w:r>
      <w:r>
        <w:rPr>
          <w:rFonts w:hint="default"/>
          <w:szCs w:val="21"/>
          <w:lang w:val="en-US" w:eastAsia="zh-CN"/>
        </w:rPr>
        <w:t xml:space="preserve">mV </w:t>
      </w:r>
      <w:r>
        <w:rPr>
          <w:rFonts w:hint="eastAsia"/>
          <w:szCs w:val="21"/>
          <w:lang w:val="en-US" w:eastAsia="zh-CN"/>
        </w:rPr>
        <w:t>。</w:t>
      </w:r>
    </w:p>
    <w:p w14:paraId="6530E0CF">
      <w:pPr>
        <w:topLinePunct/>
        <w:spacing w:line="312" w:lineRule="exact"/>
        <w:ind w:firstLine="420"/>
        <w:rPr>
          <w:rFonts w:hint="eastAsia"/>
          <w:szCs w:val="21"/>
          <w:lang w:val="en-US" w:eastAsia="zh-CN"/>
        </w:rPr>
      </w:pPr>
      <w:r>
        <w:rPr>
          <w:rFonts w:hint="eastAsia"/>
          <w:szCs w:val="21"/>
        </w:rPr>
        <w:t>f）</w:t>
      </w:r>
      <w:r>
        <w:rPr>
          <w:rFonts w:hint="eastAsia"/>
          <w:szCs w:val="21"/>
          <w:lang w:val="en-US" w:eastAsia="zh-CN"/>
        </w:rPr>
        <w:t>负载调整率： ＜</w:t>
      </w:r>
      <w:r>
        <w:rPr>
          <w:rFonts w:hint="default"/>
          <w:szCs w:val="21"/>
          <w:lang w:val="en-US" w:eastAsia="zh-CN"/>
        </w:rPr>
        <w:t>1</w:t>
      </w:r>
      <w:r>
        <w:rPr>
          <w:rFonts w:hint="eastAsia"/>
          <w:szCs w:val="21"/>
          <w:lang w:val="en-US" w:eastAsia="zh-CN"/>
        </w:rPr>
        <w:t>％，电网调整率： ＜</w:t>
      </w:r>
      <w:r>
        <w:rPr>
          <w:rFonts w:hint="default"/>
          <w:szCs w:val="21"/>
          <w:lang w:val="en-US" w:eastAsia="zh-CN"/>
        </w:rPr>
        <w:t>1</w:t>
      </w:r>
      <w:r>
        <w:rPr>
          <w:rFonts w:hint="eastAsia"/>
          <w:szCs w:val="21"/>
          <w:lang w:val="en-US" w:eastAsia="zh-CN"/>
        </w:rPr>
        <w:t>％。</w:t>
      </w:r>
    </w:p>
    <w:p w14:paraId="6FD7182F">
      <w:pPr>
        <w:topLinePunct/>
        <w:spacing w:line="312" w:lineRule="exact"/>
        <w:ind w:firstLine="420"/>
        <w:rPr>
          <w:rFonts w:hint="eastAsia"/>
          <w:szCs w:val="21"/>
        </w:rPr>
      </w:pPr>
      <w:r>
        <w:rPr>
          <w:rFonts w:hint="eastAsia"/>
          <w:szCs w:val="21"/>
          <w:lang w:val="en-US" w:eastAsia="zh-CN"/>
        </w:rPr>
        <w:t>g</w:t>
      </w:r>
      <w:r>
        <w:rPr>
          <w:rFonts w:hint="eastAsia"/>
          <w:szCs w:val="21"/>
        </w:rPr>
        <w:t>）</w:t>
      </w:r>
      <w:r>
        <w:rPr>
          <w:rFonts w:hint="eastAsia"/>
          <w:szCs w:val="21"/>
          <w:lang w:val="en-US" w:eastAsia="zh-CN"/>
        </w:rPr>
        <w:t>绝缘电阻：</w:t>
      </w:r>
      <w:r>
        <w:rPr>
          <w:rFonts w:hint="default"/>
          <w:szCs w:val="21"/>
          <w:lang w:val="en-US" w:eastAsia="zh-CN"/>
        </w:rPr>
        <w:t>DC1000V</w:t>
      </w:r>
      <w:r>
        <w:rPr>
          <w:rFonts w:hint="eastAsia"/>
          <w:szCs w:val="21"/>
          <w:lang w:val="en-US" w:eastAsia="zh-CN"/>
        </w:rPr>
        <w:t>，各隔离端子之间</w:t>
      </w:r>
      <w:r>
        <w:rPr>
          <w:rFonts w:hint="default"/>
          <w:szCs w:val="21"/>
          <w:lang w:val="en-US" w:eastAsia="zh-CN"/>
        </w:rPr>
        <w:t>≥100MΩmin</w:t>
      </w:r>
      <w:r>
        <w:rPr>
          <w:rFonts w:hint="eastAsia"/>
          <w:szCs w:val="21"/>
          <w:lang w:val="en-US" w:eastAsia="zh-CN"/>
        </w:rPr>
        <w:t>。</w:t>
      </w:r>
    </w:p>
    <w:p w14:paraId="07A8D792">
      <w:pPr>
        <w:topLinePunct/>
        <w:spacing w:line="312" w:lineRule="exact"/>
        <w:ind w:firstLine="420"/>
        <w:rPr>
          <w:rFonts w:hint="eastAsia"/>
          <w:szCs w:val="21"/>
        </w:rPr>
      </w:pPr>
      <w:r>
        <w:rPr>
          <w:rFonts w:hint="eastAsia"/>
          <w:szCs w:val="21"/>
          <w:lang w:val="en-US" w:eastAsia="zh-CN"/>
        </w:rPr>
        <w:t>h</w:t>
      </w:r>
      <w:r>
        <w:rPr>
          <w:rFonts w:hint="eastAsia"/>
          <w:szCs w:val="21"/>
        </w:rPr>
        <w:t>）</w:t>
      </w:r>
      <w:r>
        <w:rPr>
          <w:rFonts w:hint="eastAsia"/>
          <w:szCs w:val="21"/>
          <w:lang w:val="en-US" w:eastAsia="zh-CN"/>
        </w:rPr>
        <w:t>隔离耐压：</w:t>
      </w:r>
      <w:r>
        <w:rPr>
          <w:rFonts w:hint="default"/>
          <w:szCs w:val="21"/>
          <w:lang w:val="en-US" w:eastAsia="zh-CN"/>
        </w:rPr>
        <w:t xml:space="preserve">2000V/50Hz/1min </w:t>
      </w:r>
      <w:r>
        <w:rPr>
          <w:rFonts w:hint="eastAsia"/>
          <w:szCs w:val="21"/>
          <w:lang w:val="en-US" w:eastAsia="zh-CN"/>
        </w:rPr>
        <w:t xml:space="preserve">漏电流 </w:t>
      </w:r>
      <w:r>
        <w:rPr>
          <w:rFonts w:hint="default"/>
          <w:szCs w:val="21"/>
          <w:lang w:val="en-US" w:eastAsia="zh-CN"/>
        </w:rPr>
        <w:t>≤2mA</w:t>
      </w:r>
      <w:r>
        <w:rPr>
          <w:rFonts w:hint="eastAsia"/>
          <w:szCs w:val="21"/>
          <w:lang w:val="en-US" w:eastAsia="zh-CN"/>
        </w:rPr>
        <w:t xml:space="preserve">（输入对输出）。 </w:t>
      </w:r>
    </w:p>
    <w:p w14:paraId="749A71E1">
      <w:pPr>
        <w:topLinePunct/>
        <w:spacing w:line="312" w:lineRule="exact"/>
        <w:ind w:firstLine="420"/>
        <w:rPr>
          <w:rFonts w:hint="eastAsia"/>
          <w:szCs w:val="21"/>
        </w:rPr>
      </w:pPr>
      <w:r>
        <w:rPr>
          <w:rFonts w:hint="default"/>
          <w:szCs w:val="21"/>
          <w:lang w:val="en-US" w:eastAsia="zh-CN"/>
        </w:rPr>
        <w:t xml:space="preserve">2000V/50Hz/1min </w:t>
      </w:r>
      <w:r>
        <w:rPr>
          <w:rFonts w:hint="eastAsia"/>
          <w:szCs w:val="21"/>
          <w:lang w:val="en-US" w:eastAsia="zh-CN"/>
        </w:rPr>
        <w:t xml:space="preserve">漏电流 </w:t>
      </w:r>
      <w:r>
        <w:rPr>
          <w:rFonts w:hint="default"/>
          <w:szCs w:val="21"/>
          <w:lang w:val="en-US" w:eastAsia="zh-CN"/>
        </w:rPr>
        <w:t>≤2mA</w:t>
      </w:r>
      <w:r>
        <w:rPr>
          <w:rFonts w:hint="eastAsia"/>
          <w:szCs w:val="21"/>
          <w:lang w:val="en-US" w:eastAsia="zh-CN"/>
        </w:rPr>
        <w:t xml:space="preserve">（输入对 </w:t>
      </w:r>
      <w:r>
        <w:rPr>
          <w:rFonts w:hint="default"/>
          <w:szCs w:val="21"/>
          <w:lang w:val="en-US" w:eastAsia="zh-CN"/>
        </w:rPr>
        <w:t>FG</w:t>
      </w:r>
      <w:r>
        <w:rPr>
          <w:rFonts w:hint="eastAsia"/>
          <w:szCs w:val="21"/>
          <w:lang w:val="en-US" w:eastAsia="zh-CN"/>
        </w:rPr>
        <w:t xml:space="preserve">）。 </w:t>
      </w:r>
    </w:p>
    <w:p w14:paraId="4B2D3282">
      <w:pPr>
        <w:topLinePunct/>
        <w:spacing w:line="312" w:lineRule="exact"/>
        <w:ind w:firstLine="420"/>
        <w:rPr>
          <w:rFonts w:hint="eastAsia"/>
          <w:szCs w:val="21"/>
        </w:rPr>
      </w:pPr>
      <w:r>
        <w:rPr>
          <w:rFonts w:hint="default"/>
          <w:szCs w:val="21"/>
          <w:lang w:val="en-US" w:eastAsia="zh-CN"/>
        </w:rPr>
        <w:t xml:space="preserve">2000V/50Hz/1min </w:t>
      </w:r>
      <w:r>
        <w:rPr>
          <w:rFonts w:hint="eastAsia"/>
          <w:szCs w:val="21"/>
          <w:lang w:val="en-US" w:eastAsia="zh-CN"/>
        </w:rPr>
        <w:t xml:space="preserve">漏电流 </w:t>
      </w:r>
      <w:r>
        <w:rPr>
          <w:rFonts w:hint="default"/>
          <w:szCs w:val="21"/>
          <w:lang w:val="en-US" w:eastAsia="zh-CN"/>
        </w:rPr>
        <w:t>≤2mA</w:t>
      </w:r>
      <w:r>
        <w:rPr>
          <w:rFonts w:hint="eastAsia"/>
          <w:szCs w:val="21"/>
          <w:lang w:val="en-US" w:eastAsia="zh-CN"/>
        </w:rPr>
        <w:t xml:space="preserve">（输出 </w:t>
      </w:r>
      <w:r>
        <w:rPr>
          <w:rFonts w:hint="default"/>
          <w:szCs w:val="21"/>
          <w:lang w:val="en-US" w:eastAsia="zh-CN"/>
        </w:rPr>
        <w:t>V1</w:t>
      </w:r>
      <w:r>
        <w:rPr>
          <w:rFonts w:hint="eastAsia"/>
          <w:szCs w:val="21"/>
          <w:lang w:val="en-US" w:eastAsia="zh-CN"/>
        </w:rPr>
        <w:t>、</w:t>
      </w:r>
      <w:r>
        <w:rPr>
          <w:rFonts w:hint="default"/>
          <w:szCs w:val="21"/>
          <w:lang w:val="en-US" w:eastAsia="zh-CN"/>
        </w:rPr>
        <w:t>V2</w:t>
      </w:r>
      <w:r>
        <w:rPr>
          <w:rFonts w:hint="eastAsia"/>
          <w:szCs w:val="21"/>
          <w:lang w:val="en-US" w:eastAsia="zh-CN"/>
        </w:rPr>
        <w:t>、</w:t>
      </w:r>
      <w:r>
        <w:rPr>
          <w:rFonts w:hint="default"/>
          <w:szCs w:val="21"/>
          <w:lang w:val="en-US" w:eastAsia="zh-CN"/>
        </w:rPr>
        <w:t xml:space="preserve">V3 </w:t>
      </w:r>
      <w:r>
        <w:rPr>
          <w:rFonts w:hint="eastAsia"/>
          <w:szCs w:val="21"/>
          <w:lang w:val="en-US" w:eastAsia="zh-CN"/>
        </w:rPr>
        <w:t>之间）。</w:t>
      </w:r>
    </w:p>
    <w:p w14:paraId="5294E1AE">
      <w:pPr>
        <w:topLinePunct/>
        <w:spacing w:line="312" w:lineRule="exact"/>
        <w:ind w:firstLine="420"/>
        <w:rPr>
          <w:rFonts w:hint="eastAsia"/>
          <w:szCs w:val="21"/>
        </w:rPr>
      </w:pPr>
      <w:r>
        <w:rPr>
          <w:rFonts w:hint="eastAsia"/>
          <w:szCs w:val="21"/>
          <w:lang w:val="en-US" w:eastAsia="zh-CN"/>
        </w:rPr>
        <w:t>i</w:t>
      </w:r>
      <w:r>
        <w:rPr>
          <w:rFonts w:hint="eastAsia"/>
          <w:szCs w:val="21"/>
        </w:rPr>
        <w:t xml:space="preserve">） </w:t>
      </w:r>
      <w:r>
        <w:rPr>
          <w:rFonts w:hint="default"/>
          <w:szCs w:val="21"/>
          <w:lang w:val="en-US" w:eastAsia="zh-CN"/>
        </w:rPr>
        <w:t xml:space="preserve">EMI </w:t>
      </w:r>
      <w:r>
        <w:rPr>
          <w:rFonts w:hint="eastAsia"/>
          <w:szCs w:val="21"/>
          <w:lang w:val="en-US" w:eastAsia="zh-CN"/>
        </w:rPr>
        <w:t xml:space="preserve">符合 </w:t>
      </w:r>
      <w:r>
        <w:rPr>
          <w:rFonts w:hint="default"/>
          <w:szCs w:val="21"/>
          <w:lang w:val="en-US" w:eastAsia="zh-CN"/>
        </w:rPr>
        <w:t>GB/T 9254-1998</w:t>
      </w:r>
      <w:r>
        <w:rPr>
          <w:rFonts w:hint="eastAsia"/>
          <w:szCs w:val="21"/>
          <w:lang w:val="en-US" w:eastAsia="zh-CN"/>
        </w:rPr>
        <w:t>（</w:t>
      </w:r>
      <w:r>
        <w:rPr>
          <w:rFonts w:hint="default"/>
          <w:szCs w:val="21"/>
          <w:lang w:val="en-US" w:eastAsia="zh-CN"/>
        </w:rPr>
        <w:t>CISPR22B</w:t>
      </w:r>
      <w:r>
        <w:rPr>
          <w:rFonts w:hint="eastAsia"/>
          <w:szCs w:val="21"/>
          <w:lang w:val="en-US" w:eastAsia="zh-CN"/>
        </w:rPr>
        <w:t>）有关要求。</w:t>
      </w:r>
    </w:p>
    <w:p w14:paraId="447B3876">
      <w:pPr>
        <w:topLinePunct/>
        <w:spacing w:line="312" w:lineRule="exact"/>
        <w:ind w:firstLine="420"/>
        <w:rPr>
          <w:rFonts w:hint="eastAsia"/>
          <w:szCs w:val="21"/>
        </w:rPr>
      </w:pPr>
      <w:r>
        <w:rPr>
          <w:rFonts w:hint="eastAsia"/>
          <w:szCs w:val="21"/>
          <w:lang w:val="en-US" w:eastAsia="zh-CN"/>
        </w:rPr>
        <w:t>j</w:t>
      </w:r>
      <w:r>
        <w:rPr>
          <w:rFonts w:hint="eastAsia"/>
          <w:szCs w:val="21"/>
        </w:rPr>
        <w:t>）</w:t>
      </w:r>
      <w:r>
        <w:rPr>
          <w:rFonts w:hint="eastAsia"/>
          <w:szCs w:val="21"/>
          <w:lang w:val="en-US" w:eastAsia="zh-CN"/>
        </w:rPr>
        <w:t>抗群脉冲能力：</w:t>
      </w:r>
      <w:r>
        <w:rPr>
          <w:rFonts w:hint="default"/>
          <w:szCs w:val="21"/>
          <w:lang w:val="en-US" w:eastAsia="zh-CN"/>
        </w:rPr>
        <w:t xml:space="preserve">4 </w:t>
      </w:r>
      <w:r>
        <w:rPr>
          <w:rFonts w:hint="eastAsia"/>
          <w:szCs w:val="21"/>
          <w:lang w:val="en-US" w:eastAsia="zh-CN"/>
        </w:rPr>
        <w:t>级（</w:t>
      </w:r>
      <w:r>
        <w:rPr>
          <w:rFonts w:hint="default"/>
          <w:szCs w:val="21"/>
          <w:lang w:val="en-US" w:eastAsia="zh-CN"/>
        </w:rPr>
        <w:t>GB/T 17626.4 –2008</w:t>
      </w:r>
      <w:r>
        <w:rPr>
          <w:rFonts w:hint="eastAsia"/>
          <w:szCs w:val="21"/>
          <w:lang w:val="en-US" w:eastAsia="zh-CN"/>
        </w:rPr>
        <w:t>）。</w:t>
      </w:r>
    </w:p>
    <w:p w14:paraId="10E2FE24">
      <w:pPr>
        <w:topLinePunct/>
        <w:spacing w:line="312" w:lineRule="exact"/>
        <w:ind w:firstLine="420"/>
        <w:rPr>
          <w:rFonts w:hint="eastAsia"/>
          <w:szCs w:val="21"/>
        </w:rPr>
      </w:pPr>
      <w:r>
        <w:rPr>
          <w:rFonts w:hint="eastAsia"/>
          <w:szCs w:val="21"/>
          <w:lang w:val="en-US" w:eastAsia="zh-CN"/>
        </w:rPr>
        <w:t>k</w:t>
      </w:r>
      <w:r>
        <w:rPr>
          <w:rFonts w:hint="eastAsia"/>
          <w:szCs w:val="21"/>
        </w:rPr>
        <w:t>）</w:t>
      </w:r>
      <w:r>
        <w:rPr>
          <w:rFonts w:hint="eastAsia"/>
          <w:szCs w:val="21"/>
          <w:lang w:val="en-US" w:eastAsia="zh-CN"/>
        </w:rPr>
        <w:t>抗浪涌能力：</w:t>
      </w:r>
      <w:r>
        <w:rPr>
          <w:rFonts w:hint="default"/>
          <w:szCs w:val="21"/>
          <w:lang w:val="en-US" w:eastAsia="zh-CN"/>
        </w:rPr>
        <w:t xml:space="preserve"> 4 </w:t>
      </w:r>
      <w:r>
        <w:rPr>
          <w:rFonts w:hint="eastAsia"/>
          <w:szCs w:val="21"/>
          <w:lang w:val="en-US" w:eastAsia="zh-CN"/>
        </w:rPr>
        <w:t>级（</w:t>
      </w:r>
      <w:r>
        <w:rPr>
          <w:rFonts w:hint="default"/>
          <w:szCs w:val="21"/>
          <w:lang w:val="en-US" w:eastAsia="zh-CN"/>
        </w:rPr>
        <w:t>GB/T 17626.5 –2008</w:t>
      </w:r>
      <w:r>
        <w:rPr>
          <w:rFonts w:hint="eastAsia"/>
          <w:szCs w:val="21"/>
          <w:lang w:val="en-US" w:eastAsia="zh-CN"/>
        </w:rPr>
        <w:t>）。</w:t>
      </w:r>
    </w:p>
    <w:p w14:paraId="4F3784E4">
      <w:pPr>
        <w:topLinePunct/>
        <w:spacing w:line="312" w:lineRule="exact"/>
        <w:ind w:firstLine="420"/>
        <w:rPr>
          <w:rFonts w:hint="eastAsia"/>
          <w:szCs w:val="21"/>
        </w:rPr>
      </w:pPr>
      <w:r>
        <w:rPr>
          <w:rFonts w:hint="eastAsia"/>
          <w:szCs w:val="21"/>
          <w:lang w:val="en-US" w:eastAsia="zh-CN"/>
        </w:rPr>
        <w:t>l</w:t>
      </w:r>
      <w:r>
        <w:rPr>
          <w:rFonts w:hint="eastAsia"/>
          <w:szCs w:val="21"/>
        </w:rPr>
        <w:t>）</w:t>
      </w:r>
      <w:r>
        <w:rPr>
          <w:rFonts w:hint="eastAsia"/>
          <w:szCs w:val="21"/>
          <w:lang w:val="en-US" w:eastAsia="zh-CN"/>
        </w:rPr>
        <w:t>工作温度：</w:t>
      </w:r>
      <w:r>
        <w:rPr>
          <w:rFonts w:hint="default"/>
          <w:szCs w:val="21"/>
          <w:lang w:val="en-US" w:eastAsia="zh-CN"/>
        </w:rPr>
        <w:t>-10</w:t>
      </w:r>
      <w:r>
        <w:rPr>
          <w:rFonts w:hint="eastAsia"/>
          <w:szCs w:val="21"/>
          <w:lang w:val="en-US" w:eastAsia="zh-CN"/>
        </w:rPr>
        <w:t>℃～</w:t>
      </w:r>
      <w:r>
        <w:rPr>
          <w:rFonts w:hint="default"/>
          <w:szCs w:val="21"/>
          <w:lang w:val="en-US" w:eastAsia="zh-CN"/>
        </w:rPr>
        <w:t>50</w:t>
      </w:r>
      <w:r>
        <w:rPr>
          <w:rFonts w:hint="eastAsia"/>
          <w:szCs w:val="21"/>
          <w:lang w:val="en-US" w:eastAsia="zh-CN"/>
        </w:rPr>
        <w:t>℃。湿度：</w:t>
      </w:r>
      <w:r>
        <w:rPr>
          <w:rFonts w:hint="default"/>
          <w:szCs w:val="21"/>
          <w:lang w:val="en-US" w:eastAsia="zh-CN"/>
        </w:rPr>
        <w:t>95</w:t>
      </w:r>
      <w:r>
        <w:rPr>
          <w:rFonts w:hint="eastAsia"/>
          <w:szCs w:val="21"/>
          <w:lang w:val="en-US" w:eastAsia="zh-CN"/>
        </w:rPr>
        <w:t>％</w:t>
      </w:r>
      <w:r>
        <w:rPr>
          <w:rFonts w:hint="default"/>
          <w:szCs w:val="21"/>
          <w:lang w:val="en-US" w:eastAsia="zh-CN"/>
        </w:rPr>
        <w:t>max</w:t>
      </w:r>
      <w:r>
        <w:rPr>
          <w:rFonts w:hint="eastAsia"/>
          <w:szCs w:val="21"/>
          <w:lang w:val="en-US" w:eastAsia="zh-CN"/>
        </w:rPr>
        <w:t>，不结露。存储温度：</w:t>
      </w:r>
      <w:r>
        <w:rPr>
          <w:rFonts w:hint="default"/>
          <w:szCs w:val="21"/>
          <w:lang w:val="en-US" w:eastAsia="zh-CN"/>
        </w:rPr>
        <w:t>-40</w:t>
      </w:r>
      <w:r>
        <w:rPr>
          <w:rFonts w:hint="eastAsia"/>
          <w:szCs w:val="21"/>
          <w:lang w:val="en-US" w:eastAsia="zh-CN"/>
        </w:rPr>
        <w:t>℃～</w:t>
      </w:r>
      <w:r>
        <w:rPr>
          <w:rFonts w:hint="default"/>
          <w:szCs w:val="21"/>
          <w:lang w:val="en-US" w:eastAsia="zh-CN"/>
        </w:rPr>
        <w:t>105</w:t>
      </w:r>
      <w:r>
        <w:rPr>
          <w:rFonts w:hint="eastAsia"/>
          <w:szCs w:val="21"/>
          <w:lang w:val="en-US" w:eastAsia="zh-CN"/>
        </w:rPr>
        <w:t>℃</w:t>
      </w:r>
    </w:p>
    <w:p w14:paraId="2DE5FFD9">
      <w:pPr>
        <w:pStyle w:val="60"/>
      </w:pPr>
      <w:r>
        <w:rPr>
          <w:rFonts w:hint="eastAsia"/>
        </w:rPr>
        <w:t>5</w:t>
      </w:r>
      <w:r>
        <w:rPr>
          <w:rFonts w:hint="eastAsia"/>
          <w:spacing w:val="20"/>
        </w:rPr>
        <w:t>.3</w:t>
      </w:r>
      <w:r>
        <w:rPr>
          <w:rFonts w:hint="eastAsia"/>
        </w:rPr>
        <w:t>　产品技术参数</w:t>
      </w:r>
    </w:p>
    <w:p w14:paraId="302EC73D">
      <w:pPr>
        <w:ind w:left="840" w:hanging="42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表5-1 电源模块技术参数</w:t>
      </w:r>
    </w:p>
    <w:p w14:paraId="59A0D409">
      <w:pPr>
        <w:rPr>
          <w:rFonts w:hint="default" w:ascii="Times New Roman" w:hAnsi="Times New Roman" w:cs="Times New Roman"/>
        </w:rPr>
      </w:pPr>
      <w:r>
        <w:rPr>
          <w:rFonts w:hint="default" w:ascii="Times New Roman" w:hAnsi="Times New Roman" w:cs="Times New Roman"/>
        </w:rPr>
        <w:t>：</w:t>
      </w:r>
      <w:r>
        <w:rPr>
          <w:rFonts w:hint="eastAsia"/>
          <w:szCs w:val="21"/>
          <w:lang w:val="en-US" w:eastAsia="zh-CN"/>
        </w:rPr>
        <w:t>A类电源</w:t>
      </w:r>
    </w:p>
    <w:tbl>
      <w:tblPr>
        <w:tblStyle w:val="39"/>
        <w:tblW w:w="8191"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16"/>
        <w:gridCol w:w="1984"/>
        <w:gridCol w:w="1591"/>
        <w:gridCol w:w="1213"/>
        <w:gridCol w:w="1987"/>
      </w:tblGrid>
      <w:tr w14:paraId="3EB76CC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185E6AE4">
            <w:pPr>
              <w:jc w:val="center"/>
              <w:rPr>
                <w:rFonts w:ascii="宋体" w:hAnsi="宋体" w:eastAsia="宋体" w:cs="宋体"/>
                <w:sz w:val="24"/>
                <w:szCs w:val="24"/>
              </w:rPr>
            </w:pPr>
            <w:r>
              <w:rPr>
                <w:rStyle w:val="241"/>
                <w:rFonts w:hint="default"/>
              </w:rPr>
              <w:t>额定输入电压</w:t>
            </w:r>
          </w:p>
        </w:tc>
        <w:tc>
          <w:tcPr>
            <w:tcW w:w="4791" w:type="dxa"/>
            <w:gridSpan w:val="3"/>
            <w:vAlign w:val="center"/>
          </w:tcPr>
          <w:p w14:paraId="7963413A">
            <w:pPr>
              <w:jc w:val="center"/>
              <w:rPr>
                <w:rFonts w:ascii="宋体" w:hAnsi="宋体" w:eastAsia="宋体" w:cs="宋体"/>
                <w:sz w:val="24"/>
                <w:szCs w:val="24"/>
              </w:rPr>
            </w:pPr>
            <w:r>
              <w:rPr>
                <w:rStyle w:val="241"/>
                <w:rFonts w:hint="default"/>
              </w:rPr>
              <w:t>AC220V</w:t>
            </w:r>
          </w:p>
        </w:tc>
      </w:tr>
      <w:tr w14:paraId="28D7E21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2C63A2E4">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输入电压范围</w:t>
            </w:r>
          </w:p>
        </w:tc>
        <w:tc>
          <w:tcPr>
            <w:tcW w:w="4791" w:type="dxa"/>
            <w:gridSpan w:val="3"/>
            <w:vAlign w:val="center"/>
          </w:tcPr>
          <w:p w14:paraId="6A14BE18">
            <w:pPr>
              <w:jc w:val="center"/>
              <w:rPr>
                <w:rFonts w:ascii="宋体" w:hAnsi="宋体" w:eastAsia="宋体" w:cs="宋体"/>
                <w:sz w:val="24"/>
                <w:szCs w:val="24"/>
              </w:rPr>
            </w:pPr>
            <w:r>
              <w:rPr>
                <w:rStyle w:val="241"/>
                <w:rFonts w:hint="default"/>
              </w:rPr>
              <w:t>AC85——265V DC100V-375V</w:t>
            </w:r>
          </w:p>
        </w:tc>
      </w:tr>
      <w:tr w14:paraId="218F8B6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214ACB95">
            <w:pPr>
              <w:jc w:val="center"/>
              <w:rPr>
                <w:rFonts w:ascii="宋体" w:hAnsi="宋体" w:eastAsia="宋体" w:cs="宋体"/>
                <w:sz w:val="24"/>
                <w:szCs w:val="24"/>
              </w:rPr>
            </w:pPr>
            <w:r>
              <w:rPr>
                <w:rStyle w:val="241"/>
                <w:rFonts w:hint="default"/>
              </w:rPr>
              <w:t>输入频率范围</w:t>
            </w:r>
          </w:p>
        </w:tc>
        <w:tc>
          <w:tcPr>
            <w:tcW w:w="4791" w:type="dxa"/>
            <w:gridSpan w:val="3"/>
            <w:vAlign w:val="center"/>
          </w:tcPr>
          <w:p w14:paraId="5B00FA68">
            <w:pPr>
              <w:jc w:val="center"/>
              <w:rPr>
                <w:rFonts w:ascii="宋体" w:hAnsi="宋体" w:eastAsia="宋体" w:cs="宋体"/>
                <w:sz w:val="24"/>
                <w:szCs w:val="24"/>
              </w:rPr>
            </w:pPr>
            <w:r>
              <w:rPr>
                <w:rStyle w:val="241"/>
                <w:rFonts w:hint="default"/>
              </w:rPr>
              <w:t>47-63HZ</w:t>
            </w:r>
          </w:p>
        </w:tc>
      </w:tr>
      <w:tr w14:paraId="49BAA7E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06777860">
            <w:pPr>
              <w:jc w:val="center"/>
              <w:rPr>
                <w:rFonts w:ascii="宋体" w:hAnsi="宋体" w:eastAsia="宋体" w:cs="宋体"/>
                <w:sz w:val="24"/>
                <w:szCs w:val="24"/>
              </w:rPr>
            </w:pPr>
            <w:r>
              <w:rPr>
                <w:rStyle w:val="241"/>
                <w:rFonts w:hint="default"/>
              </w:rPr>
              <w:t>输出功率</w:t>
            </w:r>
          </w:p>
        </w:tc>
        <w:tc>
          <w:tcPr>
            <w:tcW w:w="4791" w:type="dxa"/>
            <w:gridSpan w:val="3"/>
            <w:vAlign w:val="center"/>
          </w:tcPr>
          <w:p w14:paraId="1B270717">
            <w:pPr>
              <w:jc w:val="center"/>
              <w:rPr>
                <w:rFonts w:ascii="宋体" w:hAnsi="宋体" w:eastAsia="宋体" w:cs="宋体"/>
                <w:sz w:val="24"/>
                <w:szCs w:val="24"/>
              </w:rPr>
            </w:pPr>
            <w:r>
              <w:rPr>
                <w:rStyle w:val="241"/>
                <w:rFonts w:hint="default"/>
              </w:rPr>
              <w:t>5W</w:t>
            </w:r>
          </w:p>
        </w:tc>
      </w:tr>
      <w:tr w14:paraId="4F083CB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0D9FF327">
            <w:pPr>
              <w:widowControl/>
              <w:jc w:val="center"/>
              <w:rPr>
                <w:rFonts w:ascii="宋体" w:hAnsi="宋体" w:eastAsia="宋体" w:cs="宋体"/>
                <w:kern w:val="0"/>
                <w:sz w:val="24"/>
                <w:szCs w:val="24"/>
              </w:rPr>
            </w:pPr>
            <w:r>
              <w:rPr>
                <w:rFonts w:ascii="宋体" w:hAnsi="宋体" w:eastAsia="宋体" w:cs="宋体"/>
                <w:color w:val="000000"/>
                <w:kern w:val="0"/>
                <w:sz w:val="24"/>
                <w:szCs w:val="24"/>
              </w:rPr>
              <w:t>输出电压</w:t>
            </w:r>
          </w:p>
        </w:tc>
        <w:tc>
          <w:tcPr>
            <w:tcW w:w="1591" w:type="dxa"/>
            <w:tcBorders>
              <w:right w:val="single" w:color="auto" w:sz="4" w:space="0"/>
            </w:tcBorders>
            <w:vAlign w:val="center"/>
          </w:tcPr>
          <w:p w14:paraId="520EF644">
            <w:pPr>
              <w:widowControl/>
              <w:jc w:val="center"/>
              <w:rPr>
                <w:rFonts w:ascii="宋体" w:hAnsi="宋体" w:eastAsia="宋体" w:cs="宋体"/>
                <w:kern w:val="0"/>
                <w:sz w:val="24"/>
                <w:szCs w:val="24"/>
              </w:rPr>
            </w:pPr>
            <w:r>
              <w:rPr>
                <w:rFonts w:ascii="宋体" w:hAnsi="宋体" w:eastAsia="宋体" w:cs="宋体"/>
                <w:color w:val="000000"/>
                <w:kern w:val="0"/>
                <w:sz w:val="24"/>
                <w:szCs w:val="24"/>
              </w:rPr>
              <w:t>V1=5V</w:t>
            </w:r>
          </w:p>
        </w:tc>
        <w:tc>
          <w:tcPr>
            <w:tcW w:w="1213" w:type="dxa"/>
            <w:tcBorders>
              <w:left w:val="single" w:color="auto" w:sz="4" w:space="0"/>
            </w:tcBorders>
            <w:vAlign w:val="center"/>
          </w:tcPr>
          <w:p w14:paraId="7BB35447">
            <w:pPr>
              <w:widowControl/>
              <w:jc w:val="center"/>
              <w:rPr>
                <w:rFonts w:ascii="宋体" w:hAnsi="宋体" w:eastAsia="宋体" w:cs="宋体"/>
                <w:kern w:val="0"/>
                <w:sz w:val="24"/>
                <w:szCs w:val="24"/>
              </w:rPr>
            </w:pPr>
            <w:r>
              <w:rPr>
                <w:rFonts w:ascii="宋体" w:hAnsi="宋体" w:eastAsia="宋体" w:cs="宋体"/>
                <w:color w:val="000000"/>
                <w:kern w:val="0"/>
                <w:sz w:val="24"/>
                <w:szCs w:val="24"/>
              </w:rPr>
              <w:t>V</w:t>
            </w:r>
            <w:r>
              <w:rPr>
                <w:rFonts w:hint="eastAsia" w:ascii="宋体" w:hAnsi="宋体" w:eastAsia="宋体" w:cs="宋体"/>
                <w:color w:val="000000"/>
                <w:kern w:val="0"/>
                <w:sz w:val="24"/>
                <w:szCs w:val="24"/>
              </w:rPr>
              <w:t>2</w:t>
            </w:r>
            <w:r>
              <w:rPr>
                <w:rFonts w:ascii="宋体" w:hAnsi="宋体" w:eastAsia="宋体" w:cs="宋体"/>
                <w:color w:val="000000"/>
                <w:kern w:val="0"/>
                <w:sz w:val="24"/>
                <w:szCs w:val="24"/>
              </w:rPr>
              <w:t>=5V</w:t>
            </w:r>
          </w:p>
        </w:tc>
        <w:tc>
          <w:tcPr>
            <w:tcW w:w="1987" w:type="dxa"/>
            <w:vAlign w:val="center"/>
          </w:tcPr>
          <w:p w14:paraId="6CF4C15A">
            <w:pPr>
              <w:widowControl/>
              <w:jc w:val="center"/>
              <w:rPr>
                <w:rFonts w:ascii="宋体" w:hAnsi="宋体" w:eastAsia="宋体" w:cs="宋体"/>
                <w:kern w:val="0"/>
                <w:sz w:val="24"/>
                <w:szCs w:val="24"/>
              </w:rPr>
            </w:pPr>
            <w:r>
              <w:rPr>
                <w:rFonts w:ascii="宋体" w:hAnsi="宋体" w:eastAsia="宋体" w:cs="宋体"/>
                <w:color w:val="000000"/>
                <w:kern w:val="0"/>
                <w:sz w:val="24"/>
                <w:szCs w:val="24"/>
              </w:rPr>
              <w:t>V</w:t>
            </w:r>
            <w:r>
              <w:rPr>
                <w:rFonts w:hint="eastAsia" w:ascii="宋体" w:hAnsi="宋体" w:eastAsia="宋体" w:cs="宋体"/>
                <w:color w:val="000000"/>
                <w:kern w:val="0"/>
                <w:sz w:val="24"/>
                <w:szCs w:val="24"/>
              </w:rPr>
              <w:t>3</w:t>
            </w:r>
            <w:r>
              <w:rPr>
                <w:rFonts w:ascii="宋体" w:hAnsi="宋体" w:eastAsia="宋体" w:cs="宋体"/>
                <w:color w:val="000000"/>
                <w:kern w:val="0"/>
                <w:sz w:val="24"/>
                <w:szCs w:val="24"/>
              </w:rPr>
              <w:t>=24V</w:t>
            </w:r>
          </w:p>
        </w:tc>
      </w:tr>
      <w:tr w14:paraId="2AD3E6A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6C195CBA">
            <w:pPr>
              <w:widowControl/>
              <w:jc w:val="center"/>
              <w:rPr>
                <w:rFonts w:ascii="宋体" w:hAnsi="宋体" w:eastAsia="宋体" w:cs="宋体"/>
                <w:kern w:val="0"/>
                <w:sz w:val="24"/>
                <w:szCs w:val="24"/>
              </w:rPr>
            </w:pPr>
            <w:r>
              <w:rPr>
                <w:rFonts w:ascii="宋体" w:hAnsi="宋体" w:eastAsia="宋体" w:cs="宋体"/>
                <w:color w:val="000000"/>
                <w:kern w:val="0"/>
                <w:sz w:val="24"/>
                <w:szCs w:val="24"/>
              </w:rPr>
              <w:t>输出电流</w:t>
            </w:r>
          </w:p>
        </w:tc>
        <w:tc>
          <w:tcPr>
            <w:tcW w:w="1591" w:type="dxa"/>
            <w:tcBorders>
              <w:right w:val="single" w:color="auto" w:sz="4" w:space="0"/>
            </w:tcBorders>
            <w:vAlign w:val="center"/>
          </w:tcPr>
          <w:p w14:paraId="3E0BA04A">
            <w:pPr>
              <w:widowControl/>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0.6</w:t>
            </w:r>
            <w:r>
              <w:rPr>
                <w:rFonts w:ascii="宋体" w:hAnsi="宋体" w:eastAsia="宋体" w:cs="宋体"/>
                <w:color w:val="000000"/>
                <w:kern w:val="0"/>
                <w:sz w:val="24"/>
                <w:szCs w:val="24"/>
              </w:rPr>
              <w:t>A</w:t>
            </w:r>
          </w:p>
        </w:tc>
        <w:tc>
          <w:tcPr>
            <w:tcW w:w="1213" w:type="dxa"/>
            <w:tcBorders>
              <w:left w:val="single" w:color="auto" w:sz="4" w:space="0"/>
            </w:tcBorders>
            <w:vAlign w:val="center"/>
          </w:tcPr>
          <w:p w14:paraId="7BD661CF">
            <w:pPr>
              <w:widowControl/>
              <w:ind w:firstLine="240" w:firstLineChars="100"/>
              <w:jc w:val="left"/>
              <w:rPr>
                <w:rFonts w:ascii="宋体" w:hAnsi="宋体" w:eastAsia="宋体" w:cs="宋体"/>
                <w:kern w:val="0"/>
                <w:sz w:val="24"/>
                <w:szCs w:val="24"/>
              </w:rPr>
            </w:pPr>
            <w:r>
              <w:rPr>
                <w:rFonts w:hint="eastAsia" w:ascii="宋体" w:hAnsi="宋体" w:eastAsia="宋体" w:cs="宋体"/>
                <w:color w:val="000000"/>
                <w:kern w:val="0"/>
                <w:sz w:val="24"/>
                <w:szCs w:val="24"/>
              </w:rPr>
              <w:t>0.6</w:t>
            </w:r>
            <w:r>
              <w:rPr>
                <w:rFonts w:ascii="宋体" w:hAnsi="宋体" w:eastAsia="宋体" w:cs="宋体"/>
                <w:color w:val="000000"/>
                <w:kern w:val="0"/>
                <w:sz w:val="24"/>
                <w:szCs w:val="24"/>
              </w:rPr>
              <w:t>A</w:t>
            </w:r>
          </w:p>
        </w:tc>
        <w:tc>
          <w:tcPr>
            <w:tcW w:w="1987" w:type="dxa"/>
            <w:vAlign w:val="center"/>
          </w:tcPr>
          <w:p w14:paraId="74C326D5">
            <w:pPr>
              <w:widowControl/>
              <w:jc w:val="center"/>
              <w:rPr>
                <w:rFonts w:ascii="宋体" w:hAnsi="宋体" w:eastAsia="宋体" w:cs="宋体"/>
                <w:kern w:val="0"/>
                <w:sz w:val="24"/>
                <w:szCs w:val="24"/>
              </w:rPr>
            </w:pPr>
            <w:r>
              <w:rPr>
                <w:rFonts w:ascii="宋体" w:hAnsi="宋体" w:eastAsia="宋体" w:cs="宋体"/>
                <w:color w:val="000000"/>
                <w:kern w:val="0"/>
                <w:sz w:val="24"/>
                <w:szCs w:val="24"/>
              </w:rPr>
              <w:t>0.</w:t>
            </w:r>
            <w:r>
              <w:rPr>
                <w:rFonts w:hint="eastAsia" w:ascii="宋体" w:hAnsi="宋体" w:eastAsia="宋体" w:cs="宋体"/>
                <w:color w:val="000000"/>
                <w:kern w:val="0"/>
                <w:sz w:val="24"/>
                <w:szCs w:val="24"/>
              </w:rPr>
              <w:t>06</w:t>
            </w:r>
            <w:r>
              <w:rPr>
                <w:rFonts w:ascii="宋体" w:hAnsi="宋体" w:eastAsia="宋体" w:cs="宋体"/>
                <w:color w:val="000000"/>
                <w:kern w:val="0"/>
                <w:sz w:val="24"/>
                <w:szCs w:val="24"/>
              </w:rPr>
              <w:t>A</w:t>
            </w:r>
          </w:p>
        </w:tc>
      </w:tr>
      <w:tr w14:paraId="4710AB2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16" w:type="dxa"/>
            <w:vMerge w:val="restart"/>
            <w:tcBorders>
              <w:right w:val="single" w:color="auto" w:sz="4" w:space="0"/>
            </w:tcBorders>
            <w:vAlign w:val="center"/>
          </w:tcPr>
          <w:p w14:paraId="7A2952ED">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耐压</w:t>
            </w:r>
          </w:p>
        </w:tc>
        <w:tc>
          <w:tcPr>
            <w:tcW w:w="1984" w:type="dxa"/>
            <w:tcBorders>
              <w:left w:val="single" w:color="auto" w:sz="4" w:space="0"/>
            </w:tcBorders>
            <w:vAlign w:val="center"/>
          </w:tcPr>
          <w:p w14:paraId="04E9134E">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输入-输出</w:t>
            </w:r>
          </w:p>
        </w:tc>
        <w:tc>
          <w:tcPr>
            <w:tcW w:w="4791" w:type="dxa"/>
            <w:gridSpan w:val="3"/>
            <w:vAlign w:val="center"/>
          </w:tcPr>
          <w:p w14:paraId="4EFBE5FB">
            <w:pPr>
              <w:jc w:val="center"/>
              <w:rPr>
                <w:rFonts w:ascii="宋体" w:hAnsi="宋体" w:eastAsia="宋体" w:cs="宋体"/>
                <w:sz w:val="24"/>
                <w:szCs w:val="24"/>
              </w:rPr>
            </w:pPr>
            <w:r>
              <w:rPr>
                <w:rStyle w:val="241"/>
                <w:rFonts w:hint="default"/>
              </w:rPr>
              <w:t>2000Vac</w:t>
            </w:r>
          </w:p>
        </w:tc>
      </w:tr>
      <w:tr w14:paraId="5A4D381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16" w:type="dxa"/>
            <w:vMerge w:val="continue"/>
            <w:tcBorders>
              <w:right w:val="single" w:color="auto" w:sz="4" w:space="0"/>
            </w:tcBorders>
            <w:vAlign w:val="center"/>
          </w:tcPr>
          <w:p w14:paraId="6E52A4CC">
            <w:pPr>
              <w:widowControl/>
              <w:jc w:val="center"/>
              <w:rPr>
                <w:rFonts w:ascii="宋体" w:hAnsi="宋体" w:eastAsia="宋体" w:cs="宋体"/>
                <w:b/>
                <w:color w:val="000000"/>
                <w:kern w:val="0"/>
                <w:sz w:val="22"/>
              </w:rPr>
            </w:pPr>
          </w:p>
        </w:tc>
        <w:tc>
          <w:tcPr>
            <w:tcW w:w="1984" w:type="dxa"/>
            <w:tcBorders>
              <w:left w:val="single" w:color="auto" w:sz="4" w:space="0"/>
            </w:tcBorders>
            <w:vAlign w:val="center"/>
          </w:tcPr>
          <w:p w14:paraId="3A3546BF">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输出-输出</w:t>
            </w:r>
          </w:p>
        </w:tc>
        <w:tc>
          <w:tcPr>
            <w:tcW w:w="4791" w:type="dxa"/>
            <w:gridSpan w:val="3"/>
            <w:vAlign w:val="center"/>
          </w:tcPr>
          <w:p w14:paraId="595A889F">
            <w:pPr>
              <w:jc w:val="center"/>
              <w:rPr>
                <w:rFonts w:ascii="宋体" w:hAnsi="宋体" w:eastAsia="宋体" w:cs="宋体"/>
                <w:sz w:val="24"/>
                <w:szCs w:val="24"/>
              </w:rPr>
            </w:pPr>
            <w:r>
              <w:rPr>
                <w:rStyle w:val="241"/>
                <w:rFonts w:hint="default"/>
              </w:rPr>
              <w:t>2000Vac</w:t>
            </w:r>
          </w:p>
        </w:tc>
      </w:tr>
      <w:tr w14:paraId="7FAF4FD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16" w:type="dxa"/>
            <w:vMerge w:val="continue"/>
            <w:tcBorders>
              <w:right w:val="single" w:color="auto" w:sz="4" w:space="0"/>
            </w:tcBorders>
            <w:vAlign w:val="center"/>
          </w:tcPr>
          <w:p w14:paraId="5A965BDA">
            <w:pPr>
              <w:widowControl/>
              <w:jc w:val="center"/>
              <w:rPr>
                <w:rFonts w:ascii="宋体" w:hAnsi="宋体" w:eastAsia="宋体" w:cs="宋体"/>
                <w:b/>
                <w:color w:val="000000"/>
                <w:kern w:val="0"/>
                <w:sz w:val="22"/>
              </w:rPr>
            </w:pPr>
          </w:p>
        </w:tc>
        <w:tc>
          <w:tcPr>
            <w:tcW w:w="1984" w:type="dxa"/>
            <w:tcBorders>
              <w:left w:val="single" w:color="auto" w:sz="4" w:space="0"/>
            </w:tcBorders>
            <w:vAlign w:val="center"/>
          </w:tcPr>
          <w:p w14:paraId="12780D52">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输入-地</w:t>
            </w:r>
          </w:p>
        </w:tc>
        <w:tc>
          <w:tcPr>
            <w:tcW w:w="4791" w:type="dxa"/>
            <w:gridSpan w:val="3"/>
            <w:vAlign w:val="center"/>
          </w:tcPr>
          <w:p w14:paraId="786882C4">
            <w:pPr>
              <w:jc w:val="center"/>
              <w:rPr>
                <w:rStyle w:val="241"/>
                <w:rFonts w:hint="default"/>
              </w:rPr>
            </w:pPr>
            <w:r>
              <w:rPr>
                <w:rStyle w:val="241"/>
                <w:rFonts w:hint="default"/>
              </w:rPr>
              <w:t>2000Vac</w:t>
            </w:r>
          </w:p>
        </w:tc>
      </w:tr>
      <w:tr w14:paraId="3A9AAD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4B182C3C">
            <w:pPr>
              <w:jc w:val="center"/>
              <w:rPr>
                <w:rFonts w:ascii="宋体" w:hAnsi="宋体" w:eastAsia="宋体" w:cs="宋体"/>
                <w:sz w:val="24"/>
                <w:szCs w:val="24"/>
              </w:rPr>
            </w:pPr>
            <w:r>
              <w:rPr>
                <w:rStyle w:val="241"/>
                <w:rFonts w:hint="default"/>
              </w:rPr>
              <w:t>脉冲群</w:t>
            </w:r>
          </w:p>
        </w:tc>
        <w:tc>
          <w:tcPr>
            <w:tcW w:w="4791" w:type="dxa"/>
            <w:gridSpan w:val="3"/>
            <w:vAlign w:val="center"/>
          </w:tcPr>
          <w:p w14:paraId="72D41A23">
            <w:pPr>
              <w:jc w:val="center"/>
              <w:rPr>
                <w:rFonts w:ascii="宋体" w:hAnsi="宋体" w:eastAsia="宋体" w:cs="宋体"/>
                <w:sz w:val="24"/>
                <w:szCs w:val="24"/>
              </w:rPr>
            </w:pPr>
            <w:r>
              <w:rPr>
                <w:rStyle w:val="241"/>
                <w:rFonts w:hint="default"/>
              </w:rPr>
              <w:t>IIEC 61000-4-4、 GB/T 176266.4－ 2008 4 级</w:t>
            </w:r>
          </w:p>
        </w:tc>
      </w:tr>
      <w:tr w14:paraId="4FE6482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0AF7458B">
            <w:pPr>
              <w:jc w:val="center"/>
              <w:rPr>
                <w:rFonts w:ascii="宋体" w:hAnsi="宋体" w:eastAsia="宋体" w:cs="宋体"/>
                <w:sz w:val="24"/>
                <w:szCs w:val="24"/>
              </w:rPr>
            </w:pPr>
            <w:r>
              <w:rPr>
                <w:rStyle w:val="241"/>
                <w:rFonts w:hint="default"/>
              </w:rPr>
              <w:t>静电放电</w:t>
            </w:r>
          </w:p>
        </w:tc>
        <w:tc>
          <w:tcPr>
            <w:tcW w:w="4791" w:type="dxa"/>
            <w:gridSpan w:val="3"/>
            <w:vAlign w:val="center"/>
          </w:tcPr>
          <w:p w14:paraId="3EDDCFC0">
            <w:pPr>
              <w:jc w:val="center"/>
              <w:rPr>
                <w:rFonts w:ascii="宋体" w:hAnsi="宋体" w:eastAsia="宋体" w:cs="宋体"/>
                <w:sz w:val="24"/>
                <w:szCs w:val="24"/>
              </w:rPr>
            </w:pPr>
            <w:r>
              <w:rPr>
                <w:rStyle w:val="241"/>
                <w:rFonts w:hint="default"/>
              </w:rPr>
              <w:t>IIEC 61000-4-2、 GB/T 176266.2－ 2006 4 级</w:t>
            </w:r>
          </w:p>
        </w:tc>
      </w:tr>
      <w:tr w14:paraId="475F55F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62266A7D">
            <w:pPr>
              <w:jc w:val="center"/>
              <w:rPr>
                <w:rFonts w:ascii="宋体" w:hAnsi="宋体" w:eastAsia="宋体" w:cs="宋体"/>
                <w:sz w:val="24"/>
                <w:szCs w:val="24"/>
              </w:rPr>
            </w:pPr>
            <w:r>
              <w:rPr>
                <w:rStyle w:val="241"/>
                <w:rFonts w:hint="default"/>
              </w:rPr>
              <w:t>浪涌</w:t>
            </w:r>
          </w:p>
        </w:tc>
        <w:tc>
          <w:tcPr>
            <w:tcW w:w="4791" w:type="dxa"/>
            <w:gridSpan w:val="3"/>
            <w:vAlign w:val="center"/>
          </w:tcPr>
          <w:p w14:paraId="3889AE5E">
            <w:pPr>
              <w:jc w:val="center"/>
              <w:rPr>
                <w:rFonts w:ascii="宋体" w:hAnsi="宋体" w:eastAsia="宋体" w:cs="宋体"/>
                <w:sz w:val="24"/>
                <w:szCs w:val="24"/>
              </w:rPr>
            </w:pPr>
            <w:r>
              <w:rPr>
                <w:rStyle w:val="241"/>
                <w:rFonts w:hint="default"/>
              </w:rPr>
              <w:t>IIEC 61000-4-5、 GB/T 176266.5－ 2008 4 级</w:t>
            </w:r>
          </w:p>
        </w:tc>
      </w:tr>
      <w:tr w14:paraId="69074D6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5F329FCB">
            <w:pPr>
              <w:widowControl/>
              <w:jc w:val="center"/>
              <w:rPr>
                <w:rFonts w:ascii="宋体" w:hAnsi="宋体" w:eastAsia="宋体" w:cs="宋体"/>
                <w:kern w:val="0"/>
                <w:sz w:val="24"/>
                <w:szCs w:val="24"/>
              </w:rPr>
            </w:pPr>
            <w:r>
              <w:rPr>
                <w:rFonts w:ascii="宋体" w:hAnsi="宋体" w:eastAsia="宋体" w:cs="宋体"/>
                <w:color w:val="000000"/>
                <w:kern w:val="0"/>
                <w:sz w:val="24"/>
                <w:szCs w:val="24"/>
              </w:rPr>
              <w:t>工作温度</w:t>
            </w:r>
          </w:p>
        </w:tc>
        <w:tc>
          <w:tcPr>
            <w:tcW w:w="4791" w:type="dxa"/>
            <w:gridSpan w:val="3"/>
            <w:vAlign w:val="center"/>
          </w:tcPr>
          <w:p w14:paraId="33927B45">
            <w:pPr>
              <w:widowControl/>
              <w:jc w:val="center"/>
              <w:rPr>
                <w:rFonts w:ascii="宋体" w:hAnsi="宋体" w:eastAsia="宋体" w:cs="宋体"/>
                <w:kern w:val="0"/>
                <w:sz w:val="24"/>
                <w:szCs w:val="24"/>
              </w:rPr>
            </w:pPr>
            <w:r>
              <w:rPr>
                <w:rFonts w:ascii="宋体" w:hAnsi="宋体" w:eastAsia="宋体" w:cs="宋体"/>
                <w:color w:val="000000"/>
                <w:kern w:val="0"/>
                <w:sz w:val="24"/>
                <w:szCs w:val="24"/>
              </w:rPr>
              <w:t>-25℃ ——+70℃</w:t>
            </w:r>
          </w:p>
        </w:tc>
      </w:tr>
      <w:tr w14:paraId="162A6D8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1C96C329">
            <w:pPr>
              <w:widowControl/>
              <w:jc w:val="center"/>
              <w:rPr>
                <w:rFonts w:ascii="宋体" w:hAnsi="宋体" w:eastAsia="宋体" w:cs="宋体"/>
                <w:kern w:val="0"/>
                <w:sz w:val="24"/>
                <w:szCs w:val="24"/>
              </w:rPr>
            </w:pPr>
            <w:r>
              <w:rPr>
                <w:rFonts w:ascii="宋体" w:hAnsi="宋体" w:eastAsia="宋体" w:cs="宋体"/>
                <w:color w:val="000000"/>
                <w:kern w:val="0"/>
                <w:sz w:val="24"/>
                <w:szCs w:val="24"/>
              </w:rPr>
              <w:t>存储温度</w:t>
            </w:r>
          </w:p>
        </w:tc>
        <w:tc>
          <w:tcPr>
            <w:tcW w:w="4791" w:type="dxa"/>
            <w:gridSpan w:val="3"/>
            <w:vAlign w:val="center"/>
          </w:tcPr>
          <w:p w14:paraId="40C143B9">
            <w:pPr>
              <w:widowControl/>
              <w:jc w:val="center"/>
              <w:rPr>
                <w:rFonts w:ascii="宋体" w:hAnsi="宋体" w:eastAsia="宋体" w:cs="宋体"/>
                <w:kern w:val="0"/>
                <w:sz w:val="24"/>
                <w:szCs w:val="24"/>
              </w:rPr>
            </w:pPr>
            <w:r>
              <w:rPr>
                <w:rFonts w:hint="eastAsia" w:ascii="宋体" w:hAnsi="宋体" w:eastAsia="宋体" w:cs="宋体"/>
                <w:color w:val="000000"/>
                <w:kern w:val="0"/>
                <w:sz w:val="24"/>
                <w:szCs w:val="24"/>
              </w:rPr>
              <w:t xml:space="preserve">-10℃ ～50℃ </w:t>
            </w:r>
          </w:p>
        </w:tc>
      </w:tr>
      <w:tr w14:paraId="23ECE5A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572DED45">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电压调整率和负载调整率</w:t>
            </w:r>
          </w:p>
        </w:tc>
        <w:tc>
          <w:tcPr>
            <w:tcW w:w="4791" w:type="dxa"/>
            <w:gridSpan w:val="3"/>
            <w:vAlign w:val="center"/>
          </w:tcPr>
          <w:p w14:paraId="55B11060">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r>
      <w:tr w14:paraId="6767F9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19D09817">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纹波加噪声</w:t>
            </w:r>
          </w:p>
        </w:tc>
        <w:tc>
          <w:tcPr>
            <w:tcW w:w="4791" w:type="dxa"/>
            <w:gridSpan w:val="3"/>
            <w:vAlign w:val="center"/>
          </w:tcPr>
          <w:p w14:paraId="6574B751">
            <w:pPr>
              <w:widowControl/>
              <w:jc w:val="center"/>
              <w:rPr>
                <w:rFonts w:ascii="宋体" w:hAnsi="宋体" w:eastAsia="宋体" w:cs="宋体"/>
                <w:color w:val="000000"/>
                <w:kern w:val="0"/>
                <w:sz w:val="24"/>
                <w:szCs w:val="24"/>
              </w:rPr>
            </w:pPr>
            <w:r>
              <w:rPr>
                <w:rFonts w:ascii="TimesNewRomanPSMT" w:hAnsi="TimesNewRomanPSMT"/>
                <w:color w:val="000000"/>
                <w:sz w:val="18"/>
                <w:szCs w:val="18"/>
              </w:rPr>
              <w:t>V1≤100mV</w:t>
            </w:r>
            <w:r>
              <w:rPr>
                <w:rFonts w:ascii="黑体" w:hAnsi="黑体" w:eastAsia="黑体"/>
                <w:color w:val="000000"/>
                <w:sz w:val="18"/>
              </w:rPr>
              <w:t xml:space="preserve">； </w:t>
            </w:r>
            <w:r>
              <w:rPr>
                <w:rFonts w:ascii="TimesNewRomanPSMT" w:hAnsi="TimesNewRomanPSMT"/>
                <w:color w:val="000000"/>
                <w:sz w:val="18"/>
                <w:szCs w:val="18"/>
              </w:rPr>
              <w:t>V2≤100mV</w:t>
            </w:r>
            <w:r>
              <w:rPr>
                <w:rFonts w:ascii="黑体" w:hAnsi="黑体" w:eastAsia="黑体"/>
                <w:color w:val="000000"/>
                <w:sz w:val="18"/>
              </w:rPr>
              <w:t xml:space="preserve">； </w:t>
            </w:r>
            <w:r>
              <w:rPr>
                <w:rFonts w:ascii="TimesNewRomanPSMT" w:hAnsi="TimesNewRomanPSMT"/>
                <w:color w:val="000000"/>
                <w:sz w:val="18"/>
                <w:szCs w:val="18"/>
              </w:rPr>
              <w:t xml:space="preserve">V3≤240mV </w:t>
            </w:r>
          </w:p>
        </w:tc>
      </w:tr>
      <w:tr w14:paraId="03EF849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54C40DE5">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效率</w:t>
            </w:r>
          </w:p>
        </w:tc>
        <w:tc>
          <w:tcPr>
            <w:tcW w:w="4791" w:type="dxa"/>
            <w:gridSpan w:val="3"/>
            <w:vAlign w:val="center"/>
          </w:tcPr>
          <w:p w14:paraId="0323C6EF">
            <w:pPr>
              <w:widowControl/>
              <w:jc w:val="center"/>
              <w:rPr>
                <w:rFonts w:hint="eastAsia" w:ascii="TimesNewRomanPSMT" w:hAnsi="TimesNewRomanPSMT"/>
                <w:color w:val="000000"/>
                <w:sz w:val="18"/>
                <w:szCs w:val="18"/>
              </w:rPr>
            </w:pPr>
            <w:r>
              <w:rPr>
                <w:rFonts w:hint="eastAsia" w:ascii="TimesNewRomanPSMT" w:hAnsi="TimesNewRomanPSMT"/>
                <w:color w:val="000000"/>
                <w:sz w:val="18"/>
                <w:szCs w:val="18"/>
              </w:rPr>
              <w:t>75%</w:t>
            </w:r>
          </w:p>
        </w:tc>
      </w:tr>
      <w:tr w14:paraId="7FDDCEB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354B5D43">
            <w:pPr>
              <w:rPr>
                <w:rFonts w:ascii="宋体" w:hAnsi="宋体" w:eastAsia="宋体" w:cs="宋体"/>
                <w:sz w:val="24"/>
                <w:szCs w:val="24"/>
              </w:rPr>
            </w:pPr>
            <w:r>
              <w:rPr>
                <w:rStyle w:val="241"/>
                <w:rFonts w:hint="default"/>
              </w:rPr>
              <w:t>平均无故障时间MTBF</w:t>
            </w:r>
          </w:p>
        </w:tc>
        <w:tc>
          <w:tcPr>
            <w:tcW w:w="4791" w:type="dxa"/>
            <w:gridSpan w:val="3"/>
            <w:vAlign w:val="center"/>
          </w:tcPr>
          <w:p w14:paraId="65EB68B2">
            <w:pPr>
              <w:jc w:val="center"/>
              <w:rPr>
                <w:rFonts w:ascii="宋体" w:hAnsi="宋体" w:eastAsia="宋体" w:cs="宋体"/>
                <w:sz w:val="24"/>
                <w:szCs w:val="24"/>
              </w:rPr>
            </w:pPr>
            <w:r>
              <w:rPr>
                <w:rStyle w:val="241"/>
                <w:rFonts w:hint="default"/>
              </w:rPr>
              <w:t>200K</w:t>
            </w:r>
            <w:r>
              <w:rPr>
                <w:rFonts w:hint="eastAsia" w:ascii="宋体" w:hAnsi="宋体" w:eastAsia="宋体" w:cs="宋体"/>
                <w:color w:val="000000"/>
                <w:kern w:val="0"/>
                <w:sz w:val="24"/>
                <w:szCs w:val="24"/>
              </w:rPr>
              <w:t>/h</w:t>
            </w:r>
          </w:p>
        </w:tc>
      </w:tr>
    </w:tbl>
    <w:p w14:paraId="41746524">
      <w:pPr>
        <w:topLinePunct/>
        <w:spacing w:line="312" w:lineRule="exact"/>
        <w:rPr>
          <w:rFonts w:hint="eastAsia"/>
          <w:snapToGrid w:val="0"/>
          <w:szCs w:val="21"/>
          <w:lang w:eastAsia="zh-CN"/>
        </w:rPr>
      </w:pPr>
    </w:p>
    <w:p w14:paraId="37D9C319">
      <w:pPr>
        <w:topLinePunct/>
        <w:spacing w:line="312" w:lineRule="exact"/>
        <w:rPr>
          <w:rFonts w:hint="default" w:ascii="Times New Roman" w:hAnsi="Times New Roman" w:cs="Times New Roman"/>
          <w:b/>
          <w:bCs/>
          <w:szCs w:val="21"/>
          <w:lang w:val="en-US" w:eastAsia="zh-CN"/>
        </w:rPr>
      </w:pPr>
      <w:r>
        <w:rPr>
          <w:rFonts w:hint="default" w:ascii="Times New Roman" w:hAnsi="Times New Roman" w:cs="Times New Roman"/>
          <w:snapToGrid w:val="0"/>
          <w:szCs w:val="21"/>
          <w:lang w:eastAsia="zh-CN"/>
        </w:rPr>
        <w:t>：</w:t>
      </w:r>
      <w:r>
        <w:rPr>
          <w:rFonts w:hint="eastAsia"/>
          <w:szCs w:val="21"/>
          <w:lang w:val="en-US" w:eastAsia="zh-CN"/>
        </w:rPr>
        <w:t>B类电源</w:t>
      </w:r>
    </w:p>
    <w:p w14:paraId="2430C4ED">
      <w:pPr>
        <w:ind w:left="840" w:hanging="42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表5-</w:t>
      </w:r>
      <w:r>
        <w:rPr>
          <w:rFonts w:hint="eastAsia" w:asciiTheme="minorEastAsia" w:hAnsiTheme="minorEastAsia" w:eastAsiaTheme="minorEastAsia" w:cstheme="minorEastAsia"/>
          <w:sz w:val="18"/>
          <w:szCs w:val="18"/>
          <w:lang w:val="en-US" w:eastAsia="zh-CN"/>
        </w:rPr>
        <w:t>2</w:t>
      </w:r>
      <w:r>
        <w:rPr>
          <w:rFonts w:hint="eastAsia" w:asciiTheme="minorEastAsia" w:hAnsiTheme="minorEastAsia" w:eastAsiaTheme="minorEastAsia" w:cstheme="minorEastAsia"/>
          <w:sz w:val="18"/>
          <w:szCs w:val="18"/>
        </w:rPr>
        <w:t xml:space="preserve"> 电源模块技术参数</w:t>
      </w:r>
    </w:p>
    <w:tbl>
      <w:tblPr>
        <w:tblStyle w:val="39"/>
        <w:tblW w:w="8191"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16"/>
        <w:gridCol w:w="1984"/>
        <w:gridCol w:w="2804"/>
        <w:gridCol w:w="1987"/>
      </w:tblGrid>
      <w:tr w14:paraId="4551AC3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0A512969">
            <w:pPr>
              <w:jc w:val="center"/>
              <w:rPr>
                <w:rFonts w:ascii="宋体" w:hAnsi="宋体" w:eastAsia="宋体" w:cs="宋体"/>
                <w:sz w:val="24"/>
                <w:szCs w:val="24"/>
              </w:rPr>
            </w:pPr>
            <w:r>
              <w:rPr>
                <w:rStyle w:val="241"/>
                <w:rFonts w:hint="default"/>
              </w:rPr>
              <w:t>额定输入电压</w:t>
            </w:r>
          </w:p>
        </w:tc>
        <w:tc>
          <w:tcPr>
            <w:tcW w:w="4791" w:type="dxa"/>
            <w:gridSpan w:val="2"/>
            <w:vAlign w:val="center"/>
          </w:tcPr>
          <w:p w14:paraId="2CB7C1AC">
            <w:pPr>
              <w:jc w:val="center"/>
              <w:rPr>
                <w:rFonts w:ascii="宋体" w:hAnsi="宋体" w:eastAsia="宋体" w:cs="宋体"/>
                <w:sz w:val="24"/>
                <w:szCs w:val="24"/>
              </w:rPr>
            </w:pPr>
            <w:r>
              <w:rPr>
                <w:rStyle w:val="241"/>
                <w:rFonts w:hint="default"/>
              </w:rPr>
              <w:t>AC220V</w:t>
            </w:r>
          </w:p>
        </w:tc>
      </w:tr>
      <w:tr w14:paraId="5AEBA20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37A43A5D">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输入电压范围</w:t>
            </w:r>
          </w:p>
        </w:tc>
        <w:tc>
          <w:tcPr>
            <w:tcW w:w="4791" w:type="dxa"/>
            <w:gridSpan w:val="2"/>
            <w:vAlign w:val="center"/>
          </w:tcPr>
          <w:p w14:paraId="08E43CE0">
            <w:pPr>
              <w:jc w:val="center"/>
              <w:rPr>
                <w:rFonts w:ascii="宋体" w:hAnsi="宋体" w:eastAsia="宋体" w:cs="宋体"/>
                <w:sz w:val="24"/>
                <w:szCs w:val="24"/>
              </w:rPr>
            </w:pPr>
            <w:r>
              <w:rPr>
                <w:rStyle w:val="241"/>
                <w:rFonts w:hint="default"/>
              </w:rPr>
              <w:t>AC85——265V DC100V-370V</w:t>
            </w:r>
          </w:p>
        </w:tc>
      </w:tr>
      <w:tr w14:paraId="1C86EB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0B31CA48">
            <w:pPr>
              <w:jc w:val="center"/>
              <w:rPr>
                <w:rFonts w:ascii="宋体" w:hAnsi="宋体" w:eastAsia="宋体" w:cs="宋体"/>
                <w:sz w:val="24"/>
                <w:szCs w:val="24"/>
              </w:rPr>
            </w:pPr>
            <w:r>
              <w:rPr>
                <w:rStyle w:val="241"/>
                <w:rFonts w:hint="default"/>
              </w:rPr>
              <w:t>输入频率范围</w:t>
            </w:r>
          </w:p>
        </w:tc>
        <w:tc>
          <w:tcPr>
            <w:tcW w:w="4791" w:type="dxa"/>
            <w:gridSpan w:val="2"/>
            <w:vAlign w:val="center"/>
          </w:tcPr>
          <w:p w14:paraId="46B47F65">
            <w:pPr>
              <w:jc w:val="center"/>
              <w:rPr>
                <w:rFonts w:ascii="宋体" w:hAnsi="宋体" w:eastAsia="宋体" w:cs="宋体"/>
                <w:sz w:val="24"/>
                <w:szCs w:val="24"/>
              </w:rPr>
            </w:pPr>
            <w:r>
              <w:rPr>
                <w:rStyle w:val="241"/>
                <w:rFonts w:hint="default"/>
              </w:rPr>
              <w:t>47-63HZ</w:t>
            </w:r>
          </w:p>
        </w:tc>
      </w:tr>
      <w:tr w14:paraId="6F35F6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39B0340F">
            <w:pPr>
              <w:jc w:val="center"/>
              <w:rPr>
                <w:rFonts w:ascii="宋体" w:hAnsi="宋体" w:eastAsia="宋体" w:cs="宋体"/>
                <w:sz w:val="24"/>
                <w:szCs w:val="24"/>
              </w:rPr>
            </w:pPr>
            <w:r>
              <w:rPr>
                <w:rStyle w:val="241"/>
                <w:rFonts w:hint="default"/>
              </w:rPr>
              <w:t>输出功率</w:t>
            </w:r>
          </w:p>
        </w:tc>
        <w:tc>
          <w:tcPr>
            <w:tcW w:w="4791" w:type="dxa"/>
            <w:gridSpan w:val="2"/>
            <w:vAlign w:val="center"/>
          </w:tcPr>
          <w:p w14:paraId="05290C76">
            <w:pPr>
              <w:jc w:val="center"/>
              <w:rPr>
                <w:rFonts w:ascii="宋体" w:hAnsi="宋体" w:eastAsia="宋体" w:cs="宋体"/>
                <w:sz w:val="24"/>
                <w:szCs w:val="24"/>
              </w:rPr>
            </w:pPr>
            <w:r>
              <w:rPr>
                <w:rStyle w:val="241"/>
                <w:rFonts w:hint="default"/>
              </w:rPr>
              <w:t>15W</w:t>
            </w:r>
          </w:p>
        </w:tc>
      </w:tr>
      <w:tr w14:paraId="68405BA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5502D75F">
            <w:pPr>
              <w:widowControl/>
              <w:jc w:val="center"/>
              <w:rPr>
                <w:rFonts w:ascii="宋体" w:hAnsi="宋体" w:eastAsia="宋体" w:cs="宋体"/>
                <w:kern w:val="0"/>
                <w:sz w:val="24"/>
                <w:szCs w:val="24"/>
              </w:rPr>
            </w:pPr>
            <w:r>
              <w:rPr>
                <w:rFonts w:ascii="宋体" w:hAnsi="宋体" w:eastAsia="宋体" w:cs="宋体"/>
                <w:color w:val="000000"/>
                <w:kern w:val="0"/>
                <w:sz w:val="24"/>
                <w:szCs w:val="24"/>
              </w:rPr>
              <w:t>输出电压</w:t>
            </w:r>
          </w:p>
        </w:tc>
        <w:tc>
          <w:tcPr>
            <w:tcW w:w="2804" w:type="dxa"/>
            <w:vAlign w:val="center"/>
          </w:tcPr>
          <w:p w14:paraId="572A6A6A">
            <w:pPr>
              <w:widowControl/>
              <w:jc w:val="center"/>
              <w:rPr>
                <w:rFonts w:ascii="宋体" w:hAnsi="宋体" w:eastAsia="宋体" w:cs="宋体"/>
                <w:kern w:val="0"/>
                <w:sz w:val="24"/>
                <w:szCs w:val="24"/>
              </w:rPr>
            </w:pPr>
            <w:r>
              <w:rPr>
                <w:rFonts w:ascii="宋体" w:hAnsi="宋体" w:eastAsia="宋体" w:cs="宋体"/>
                <w:color w:val="000000"/>
                <w:kern w:val="0"/>
                <w:sz w:val="24"/>
                <w:szCs w:val="24"/>
              </w:rPr>
              <w:t>V1=5V</w:t>
            </w:r>
          </w:p>
        </w:tc>
        <w:tc>
          <w:tcPr>
            <w:tcW w:w="1987" w:type="dxa"/>
            <w:vAlign w:val="center"/>
          </w:tcPr>
          <w:p w14:paraId="4489A5CA">
            <w:pPr>
              <w:widowControl/>
              <w:jc w:val="center"/>
              <w:rPr>
                <w:rFonts w:ascii="宋体" w:hAnsi="宋体" w:eastAsia="宋体" w:cs="宋体"/>
                <w:kern w:val="0"/>
                <w:sz w:val="24"/>
                <w:szCs w:val="24"/>
              </w:rPr>
            </w:pPr>
            <w:r>
              <w:rPr>
                <w:rFonts w:ascii="宋体" w:hAnsi="宋体" w:eastAsia="宋体" w:cs="宋体"/>
                <w:color w:val="000000"/>
                <w:kern w:val="0"/>
                <w:sz w:val="24"/>
                <w:szCs w:val="24"/>
              </w:rPr>
              <w:t>V2=24V</w:t>
            </w:r>
          </w:p>
        </w:tc>
      </w:tr>
      <w:tr w14:paraId="14FC46B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75D1AA58">
            <w:pPr>
              <w:widowControl/>
              <w:jc w:val="center"/>
              <w:rPr>
                <w:rFonts w:ascii="宋体" w:hAnsi="宋体" w:eastAsia="宋体" w:cs="宋体"/>
                <w:kern w:val="0"/>
                <w:sz w:val="24"/>
                <w:szCs w:val="24"/>
              </w:rPr>
            </w:pPr>
            <w:r>
              <w:rPr>
                <w:rFonts w:ascii="宋体" w:hAnsi="宋体" w:eastAsia="宋体" w:cs="宋体"/>
                <w:color w:val="000000"/>
                <w:kern w:val="0"/>
                <w:sz w:val="24"/>
                <w:szCs w:val="24"/>
              </w:rPr>
              <w:t>输出电流</w:t>
            </w:r>
          </w:p>
        </w:tc>
        <w:tc>
          <w:tcPr>
            <w:tcW w:w="2804" w:type="dxa"/>
            <w:vAlign w:val="center"/>
          </w:tcPr>
          <w:p w14:paraId="6436C850">
            <w:pPr>
              <w:widowControl/>
              <w:jc w:val="center"/>
              <w:rPr>
                <w:rFonts w:ascii="宋体" w:hAnsi="宋体" w:eastAsia="宋体" w:cs="宋体"/>
                <w:kern w:val="0"/>
                <w:sz w:val="24"/>
                <w:szCs w:val="24"/>
              </w:rPr>
            </w:pPr>
            <w:r>
              <w:rPr>
                <w:rFonts w:ascii="宋体" w:hAnsi="宋体" w:eastAsia="宋体" w:cs="宋体"/>
                <w:color w:val="000000"/>
                <w:kern w:val="0"/>
                <w:sz w:val="24"/>
                <w:szCs w:val="24"/>
              </w:rPr>
              <w:t>2A</w:t>
            </w:r>
          </w:p>
        </w:tc>
        <w:tc>
          <w:tcPr>
            <w:tcW w:w="1987" w:type="dxa"/>
            <w:vAlign w:val="center"/>
          </w:tcPr>
          <w:p w14:paraId="37500665">
            <w:pPr>
              <w:widowControl/>
              <w:jc w:val="center"/>
              <w:rPr>
                <w:rFonts w:ascii="宋体" w:hAnsi="宋体" w:eastAsia="宋体" w:cs="宋体"/>
                <w:kern w:val="0"/>
                <w:sz w:val="24"/>
                <w:szCs w:val="24"/>
              </w:rPr>
            </w:pPr>
            <w:r>
              <w:rPr>
                <w:rFonts w:ascii="宋体" w:hAnsi="宋体" w:eastAsia="宋体" w:cs="宋体"/>
                <w:color w:val="000000"/>
                <w:kern w:val="0"/>
                <w:sz w:val="24"/>
                <w:szCs w:val="24"/>
              </w:rPr>
              <w:t>0.2A</w:t>
            </w:r>
          </w:p>
        </w:tc>
      </w:tr>
      <w:tr w14:paraId="0A7A49A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16" w:type="dxa"/>
            <w:vMerge w:val="restart"/>
            <w:tcBorders>
              <w:right w:val="single" w:color="auto" w:sz="4" w:space="0"/>
            </w:tcBorders>
            <w:vAlign w:val="center"/>
          </w:tcPr>
          <w:p w14:paraId="4F4E3490">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耐压</w:t>
            </w:r>
          </w:p>
        </w:tc>
        <w:tc>
          <w:tcPr>
            <w:tcW w:w="1984" w:type="dxa"/>
            <w:tcBorders>
              <w:left w:val="single" w:color="auto" w:sz="4" w:space="0"/>
            </w:tcBorders>
            <w:vAlign w:val="center"/>
          </w:tcPr>
          <w:p w14:paraId="719AA87F">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输入-输出</w:t>
            </w:r>
          </w:p>
        </w:tc>
        <w:tc>
          <w:tcPr>
            <w:tcW w:w="4791" w:type="dxa"/>
            <w:gridSpan w:val="2"/>
            <w:vAlign w:val="center"/>
          </w:tcPr>
          <w:p w14:paraId="4B16DFF5">
            <w:pPr>
              <w:jc w:val="center"/>
              <w:rPr>
                <w:rFonts w:ascii="宋体" w:hAnsi="宋体" w:eastAsia="宋体" w:cs="宋体"/>
                <w:sz w:val="24"/>
                <w:szCs w:val="24"/>
              </w:rPr>
            </w:pPr>
            <w:r>
              <w:rPr>
                <w:rStyle w:val="241"/>
                <w:rFonts w:hint="default"/>
              </w:rPr>
              <w:t>2000Vac</w:t>
            </w:r>
          </w:p>
        </w:tc>
      </w:tr>
      <w:tr w14:paraId="23F3F83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16" w:type="dxa"/>
            <w:vMerge w:val="continue"/>
            <w:tcBorders>
              <w:right w:val="single" w:color="auto" w:sz="4" w:space="0"/>
            </w:tcBorders>
            <w:vAlign w:val="center"/>
          </w:tcPr>
          <w:p w14:paraId="30F38BF9">
            <w:pPr>
              <w:widowControl/>
              <w:jc w:val="center"/>
              <w:rPr>
                <w:rFonts w:ascii="宋体" w:hAnsi="宋体" w:eastAsia="宋体" w:cs="宋体"/>
                <w:b/>
                <w:color w:val="000000"/>
                <w:kern w:val="0"/>
                <w:sz w:val="22"/>
              </w:rPr>
            </w:pPr>
          </w:p>
        </w:tc>
        <w:tc>
          <w:tcPr>
            <w:tcW w:w="1984" w:type="dxa"/>
            <w:tcBorders>
              <w:left w:val="single" w:color="auto" w:sz="4" w:space="0"/>
            </w:tcBorders>
            <w:vAlign w:val="center"/>
          </w:tcPr>
          <w:p w14:paraId="1FD7D25D">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输出-输出</w:t>
            </w:r>
          </w:p>
        </w:tc>
        <w:tc>
          <w:tcPr>
            <w:tcW w:w="4791" w:type="dxa"/>
            <w:gridSpan w:val="2"/>
            <w:vAlign w:val="center"/>
          </w:tcPr>
          <w:p w14:paraId="25EF30EC">
            <w:pPr>
              <w:jc w:val="center"/>
              <w:rPr>
                <w:rFonts w:ascii="宋体" w:hAnsi="宋体" w:eastAsia="宋体" w:cs="宋体"/>
                <w:sz w:val="24"/>
                <w:szCs w:val="24"/>
              </w:rPr>
            </w:pPr>
            <w:r>
              <w:rPr>
                <w:rStyle w:val="241"/>
                <w:rFonts w:hint="default"/>
              </w:rPr>
              <w:t>2000Vac</w:t>
            </w:r>
          </w:p>
        </w:tc>
      </w:tr>
      <w:tr w14:paraId="23802B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709B1CF0">
            <w:pPr>
              <w:jc w:val="center"/>
              <w:rPr>
                <w:rFonts w:ascii="宋体" w:hAnsi="宋体" w:eastAsia="宋体" w:cs="宋体"/>
                <w:sz w:val="24"/>
                <w:szCs w:val="24"/>
              </w:rPr>
            </w:pPr>
            <w:r>
              <w:rPr>
                <w:rStyle w:val="241"/>
                <w:rFonts w:hint="default"/>
              </w:rPr>
              <w:t>脉冲群</w:t>
            </w:r>
          </w:p>
        </w:tc>
        <w:tc>
          <w:tcPr>
            <w:tcW w:w="4791" w:type="dxa"/>
            <w:gridSpan w:val="2"/>
            <w:vAlign w:val="center"/>
          </w:tcPr>
          <w:p w14:paraId="25CE399E">
            <w:pPr>
              <w:jc w:val="center"/>
              <w:rPr>
                <w:rFonts w:ascii="宋体" w:hAnsi="宋体" w:eastAsia="宋体" w:cs="宋体"/>
                <w:sz w:val="24"/>
                <w:szCs w:val="24"/>
              </w:rPr>
            </w:pPr>
            <w:r>
              <w:rPr>
                <w:rStyle w:val="241"/>
                <w:rFonts w:hint="default"/>
              </w:rPr>
              <w:t>IIEC 61000-4-4、 GB/T 176266.4－ 2008 4 级</w:t>
            </w:r>
          </w:p>
        </w:tc>
      </w:tr>
      <w:tr w14:paraId="0BE0390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19685D9B">
            <w:pPr>
              <w:jc w:val="center"/>
              <w:rPr>
                <w:rFonts w:ascii="宋体" w:hAnsi="宋体" w:eastAsia="宋体" w:cs="宋体"/>
                <w:sz w:val="24"/>
                <w:szCs w:val="24"/>
              </w:rPr>
            </w:pPr>
            <w:r>
              <w:rPr>
                <w:rStyle w:val="241"/>
                <w:rFonts w:hint="default"/>
              </w:rPr>
              <w:t>静电放电</w:t>
            </w:r>
          </w:p>
        </w:tc>
        <w:tc>
          <w:tcPr>
            <w:tcW w:w="4791" w:type="dxa"/>
            <w:gridSpan w:val="2"/>
            <w:vAlign w:val="center"/>
          </w:tcPr>
          <w:p w14:paraId="01DCE5FD">
            <w:pPr>
              <w:jc w:val="center"/>
              <w:rPr>
                <w:rFonts w:ascii="宋体" w:hAnsi="宋体" w:eastAsia="宋体" w:cs="宋体"/>
                <w:sz w:val="24"/>
                <w:szCs w:val="24"/>
              </w:rPr>
            </w:pPr>
            <w:r>
              <w:rPr>
                <w:rStyle w:val="241"/>
                <w:rFonts w:hint="default"/>
              </w:rPr>
              <w:t>IIEC 61000-4-2、 GB/T 176266.2－ 2006 4 级</w:t>
            </w:r>
          </w:p>
        </w:tc>
      </w:tr>
      <w:tr w14:paraId="66D5B98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4D646775">
            <w:pPr>
              <w:jc w:val="center"/>
              <w:rPr>
                <w:rFonts w:ascii="宋体" w:hAnsi="宋体" w:eastAsia="宋体" w:cs="宋体"/>
                <w:sz w:val="24"/>
                <w:szCs w:val="24"/>
              </w:rPr>
            </w:pPr>
            <w:r>
              <w:rPr>
                <w:rStyle w:val="241"/>
                <w:rFonts w:hint="default"/>
              </w:rPr>
              <w:t>辐射电磁场</w:t>
            </w:r>
          </w:p>
        </w:tc>
        <w:tc>
          <w:tcPr>
            <w:tcW w:w="4791" w:type="dxa"/>
            <w:gridSpan w:val="2"/>
            <w:vAlign w:val="center"/>
          </w:tcPr>
          <w:p w14:paraId="72B6AF4C">
            <w:pPr>
              <w:jc w:val="center"/>
              <w:rPr>
                <w:rFonts w:ascii="宋体" w:hAnsi="宋体" w:eastAsia="宋体" w:cs="宋体"/>
                <w:sz w:val="24"/>
                <w:szCs w:val="24"/>
              </w:rPr>
            </w:pPr>
            <w:r>
              <w:rPr>
                <w:rStyle w:val="241"/>
                <w:rFonts w:hint="default"/>
              </w:rPr>
              <w:t>IIEC 61000-4-3、 GB/T 176266.3－ 2006 3 级</w:t>
            </w:r>
          </w:p>
        </w:tc>
      </w:tr>
      <w:tr w14:paraId="462E76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0B148829">
            <w:pPr>
              <w:jc w:val="center"/>
              <w:rPr>
                <w:rFonts w:ascii="宋体" w:hAnsi="宋体" w:eastAsia="宋体" w:cs="宋体"/>
                <w:sz w:val="24"/>
                <w:szCs w:val="24"/>
              </w:rPr>
            </w:pPr>
            <w:r>
              <w:rPr>
                <w:rStyle w:val="241"/>
                <w:rFonts w:hint="default"/>
              </w:rPr>
              <w:t>浪涌</w:t>
            </w:r>
          </w:p>
        </w:tc>
        <w:tc>
          <w:tcPr>
            <w:tcW w:w="4791" w:type="dxa"/>
            <w:gridSpan w:val="2"/>
            <w:vAlign w:val="center"/>
          </w:tcPr>
          <w:p w14:paraId="5BD9CC8E">
            <w:pPr>
              <w:jc w:val="center"/>
              <w:rPr>
                <w:rFonts w:ascii="宋体" w:hAnsi="宋体" w:eastAsia="宋体" w:cs="宋体"/>
                <w:sz w:val="24"/>
                <w:szCs w:val="24"/>
              </w:rPr>
            </w:pPr>
            <w:r>
              <w:rPr>
                <w:rStyle w:val="241"/>
                <w:rFonts w:hint="default"/>
              </w:rPr>
              <w:t>IIEC 61000-4-5、 GB/T 176266.5－ 2008 4 级</w:t>
            </w:r>
          </w:p>
        </w:tc>
      </w:tr>
      <w:tr w14:paraId="4623B82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51ADF802">
            <w:pPr>
              <w:widowControl/>
              <w:jc w:val="center"/>
              <w:rPr>
                <w:rFonts w:ascii="宋体" w:hAnsi="宋体" w:eastAsia="宋体" w:cs="宋体"/>
                <w:kern w:val="0"/>
                <w:sz w:val="24"/>
                <w:szCs w:val="24"/>
              </w:rPr>
            </w:pPr>
            <w:r>
              <w:rPr>
                <w:rFonts w:ascii="宋体" w:hAnsi="宋体" w:eastAsia="宋体" w:cs="宋体"/>
                <w:color w:val="000000"/>
                <w:kern w:val="0"/>
                <w:sz w:val="24"/>
                <w:szCs w:val="24"/>
              </w:rPr>
              <w:t>工作温度</w:t>
            </w:r>
          </w:p>
        </w:tc>
        <w:tc>
          <w:tcPr>
            <w:tcW w:w="4791" w:type="dxa"/>
            <w:gridSpan w:val="2"/>
            <w:vAlign w:val="center"/>
          </w:tcPr>
          <w:p w14:paraId="120960E2">
            <w:pPr>
              <w:widowControl/>
              <w:jc w:val="center"/>
              <w:rPr>
                <w:rFonts w:ascii="宋体" w:hAnsi="宋体" w:eastAsia="宋体" w:cs="宋体"/>
                <w:kern w:val="0"/>
                <w:sz w:val="24"/>
                <w:szCs w:val="24"/>
              </w:rPr>
            </w:pPr>
            <w:r>
              <w:rPr>
                <w:rFonts w:ascii="宋体" w:hAnsi="宋体" w:eastAsia="宋体" w:cs="宋体"/>
                <w:color w:val="000000"/>
                <w:kern w:val="0"/>
                <w:sz w:val="24"/>
                <w:szCs w:val="24"/>
              </w:rPr>
              <w:t>-25℃ ——+70℃</w:t>
            </w:r>
          </w:p>
        </w:tc>
      </w:tr>
      <w:tr w14:paraId="2DD1205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6D9A20C6">
            <w:pPr>
              <w:widowControl/>
              <w:jc w:val="center"/>
              <w:rPr>
                <w:rFonts w:ascii="宋体" w:hAnsi="宋体" w:eastAsia="宋体" w:cs="宋体"/>
                <w:kern w:val="0"/>
                <w:sz w:val="24"/>
                <w:szCs w:val="24"/>
              </w:rPr>
            </w:pPr>
            <w:r>
              <w:rPr>
                <w:rFonts w:ascii="宋体" w:hAnsi="宋体" w:eastAsia="宋体" w:cs="宋体"/>
                <w:color w:val="000000"/>
                <w:kern w:val="0"/>
                <w:sz w:val="24"/>
                <w:szCs w:val="24"/>
              </w:rPr>
              <w:t>存储温度</w:t>
            </w:r>
          </w:p>
        </w:tc>
        <w:tc>
          <w:tcPr>
            <w:tcW w:w="4791" w:type="dxa"/>
            <w:gridSpan w:val="2"/>
            <w:vAlign w:val="center"/>
          </w:tcPr>
          <w:p w14:paraId="06107661">
            <w:pPr>
              <w:widowControl/>
              <w:jc w:val="center"/>
              <w:rPr>
                <w:rFonts w:ascii="宋体" w:hAnsi="宋体" w:eastAsia="宋体" w:cs="宋体"/>
                <w:kern w:val="0"/>
                <w:sz w:val="24"/>
                <w:szCs w:val="24"/>
              </w:rPr>
            </w:pPr>
            <w:r>
              <w:rPr>
                <w:rFonts w:ascii="宋体" w:hAnsi="宋体" w:eastAsia="宋体" w:cs="宋体"/>
                <w:color w:val="000000"/>
                <w:kern w:val="0"/>
                <w:sz w:val="24"/>
                <w:szCs w:val="24"/>
              </w:rPr>
              <w:t>-40℃ ——+85℃</w:t>
            </w:r>
          </w:p>
        </w:tc>
      </w:tr>
      <w:tr w14:paraId="67076C4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441C6144">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尺寸</w:t>
            </w:r>
          </w:p>
        </w:tc>
        <w:tc>
          <w:tcPr>
            <w:tcW w:w="4791" w:type="dxa"/>
            <w:gridSpan w:val="2"/>
            <w:vAlign w:val="center"/>
          </w:tcPr>
          <w:p w14:paraId="70F06427">
            <w:pPr>
              <w:jc w:val="center"/>
              <w:rPr>
                <w:rFonts w:ascii="宋体" w:hAnsi="宋体" w:eastAsia="宋体" w:cs="宋体"/>
                <w:sz w:val="24"/>
                <w:szCs w:val="24"/>
              </w:rPr>
            </w:pPr>
            <w:r>
              <w:rPr>
                <w:rStyle w:val="241"/>
                <w:rFonts w:hint="default"/>
              </w:rPr>
              <w:t>62× 45× 25mm</w:t>
            </w:r>
          </w:p>
        </w:tc>
      </w:tr>
      <w:tr w14:paraId="1C5D86D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25BD9A0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输出精度</w:t>
            </w:r>
          </w:p>
        </w:tc>
        <w:tc>
          <w:tcPr>
            <w:tcW w:w="4791" w:type="dxa"/>
            <w:gridSpan w:val="2"/>
            <w:vAlign w:val="center"/>
          </w:tcPr>
          <w:p w14:paraId="51FC2107">
            <w:pPr>
              <w:jc w:val="center"/>
              <w:rPr>
                <w:rStyle w:val="241"/>
                <w:rFonts w:hint="default"/>
              </w:rPr>
            </w:pPr>
            <w:r>
              <w:rPr>
                <w:rStyle w:val="241"/>
                <w:rFonts w:hint="default"/>
              </w:rPr>
              <w:t>±2%</w:t>
            </w:r>
          </w:p>
        </w:tc>
      </w:tr>
      <w:tr w14:paraId="0FFD335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24368C7A">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电压调整率和负载调整率</w:t>
            </w:r>
          </w:p>
        </w:tc>
        <w:tc>
          <w:tcPr>
            <w:tcW w:w="4791" w:type="dxa"/>
            <w:gridSpan w:val="2"/>
            <w:vAlign w:val="center"/>
          </w:tcPr>
          <w:p w14:paraId="7DD5F0F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r>
      <w:tr w14:paraId="6B26EAE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157A99B4">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纹波加噪声</w:t>
            </w:r>
          </w:p>
        </w:tc>
        <w:tc>
          <w:tcPr>
            <w:tcW w:w="4791" w:type="dxa"/>
            <w:gridSpan w:val="2"/>
            <w:vAlign w:val="center"/>
          </w:tcPr>
          <w:p w14:paraId="0C1F7945">
            <w:pPr>
              <w:jc w:val="center"/>
              <w:rPr>
                <w:rFonts w:ascii="宋体" w:hAnsi="宋体" w:eastAsia="宋体" w:cs="宋体"/>
                <w:sz w:val="24"/>
                <w:szCs w:val="24"/>
              </w:rPr>
            </w:pPr>
            <w:r>
              <w:rPr>
                <w:rFonts w:ascii="TimesNewRomanPSMT" w:hAnsi="TimesNewRomanPSMT"/>
                <w:color w:val="000000"/>
                <w:sz w:val="18"/>
                <w:szCs w:val="18"/>
              </w:rPr>
              <w:t>V1≤100mV</w:t>
            </w:r>
            <w:r>
              <w:rPr>
                <w:rFonts w:ascii="黑体" w:hAnsi="黑体" w:eastAsia="黑体"/>
                <w:color w:val="000000"/>
                <w:sz w:val="18"/>
              </w:rPr>
              <w:t xml:space="preserve">； </w:t>
            </w:r>
            <w:r>
              <w:rPr>
                <w:rFonts w:ascii="TimesNewRomanPSMT" w:hAnsi="TimesNewRomanPSMT"/>
                <w:color w:val="000000"/>
                <w:sz w:val="18"/>
                <w:szCs w:val="18"/>
              </w:rPr>
              <w:t xml:space="preserve">V2≤240mV </w:t>
            </w:r>
            <w:r>
              <w:rPr>
                <w:rFonts w:ascii="黑体" w:hAnsi="黑体" w:eastAsia="黑体"/>
                <w:color w:val="000000"/>
                <w:sz w:val="18"/>
              </w:rPr>
              <w:t>。</w:t>
            </w:r>
          </w:p>
        </w:tc>
      </w:tr>
    </w:tbl>
    <w:p w14:paraId="48892C04">
      <w:pPr>
        <w:rPr>
          <w:highlight w:val="yellow"/>
        </w:rPr>
      </w:pPr>
    </w:p>
    <w:p w14:paraId="73611FD9">
      <w:pPr>
        <w:widowControl/>
        <w:jc w:val="left"/>
        <w:rPr>
          <w:rFonts w:hint="eastAsia" w:ascii="宋体" w:hAnsi="宋体" w:eastAsia="宋体" w:cs="宋体"/>
          <w:b w:val="0"/>
          <w:bCs/>
          <w:color w:val="000000"/>
          <w:kern w:val="0"/>
          <w:sz w:val="22"/>
        </w:rPr>
      </w:pPr>
      <w:r>
        <w:rPr>
          <w:rFonts w:hint="default" w:ascii="Times New Roman" w:hAnsi="Times New Roman" w:cs="Times New Roman"/>
          <w:snapToGrid w:val="0"/>
          <w:szCs w:val="21"/>
          <w:lang w:eastAsia="zh-CN"/>
        </w:rPr>
        <w:t>：</w:t>
      </w:r>
      <w:r>
        <w:rPr>
          <w:rFonts w:hint="eastAsia" w:cs="Times New Roman"/>
          <w:snapToGrid w:val="0"/>
          <w:szCs w:val="21"/>
          <w:lang w:val="en-US" w:eastAsia="zh-CN"/>
        </w:rPr>
        <w:t>C</w:t>
      </w:r>
      <w:r>
        <w:rPr>
          <w:rFonts w:hint="eastAsia"/>
          <w:szCs w:val="21"/>
          <w:lang w:val="en-US" w:eastAsia="zh-CN"/>
        </w:rPr>
        <w:t>类电源</w:t>
      </w:r>
    </w:p>
    <w:p w14:paraId="19200A45">
      <w:pPr>
        <w:widowControl/>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表5-</w:t>
      </w:r>
      <w:r>
        <w:rPr>
          <w:rFonts w:hint="eastAsia" w:asciiTheme="minorEastAsia" w:hAnsiTheme="minorEastAsia" w:eastAsiaTheme="minorEastAsia" w:cstheme="minorEastAsia"/>
          <w:sz w:val="18"/>
          <w:szCs w:val="18"/>
          <w:lang w:val="en-US" w:eastAsia="zh-CN"/>
        </w:rPr>
        <w:t>3</w:t>
      </w:r>
      <w:r>
        <w:rPr>
          <w:rFonts w:hint="eastAsia" w:asciiTheme="minorEastAsia" w:hAnsiTheme="minorEastAsia" w:eastAsiaTheme="minorEastAsia" w:cstheme="minorEastAsia"/>
          <w:sz w:val="18"/>
          <w:szCs w:val="18"/>
        </w:rPr>
        <w:t xml:space="preserve"> 电源模块技术参数</w:t>
      </w:r>
    </w:p>
    <w:tbl>
      <w:tblPr>
        <w:tblStyle w:val="39"/>
        <w:tblW w:w="8301"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16"/>
        <w:gridCol w:w="1984"/>
        <w:gridCol w:w="1591"/>
        <w:gridCol w:w="1213"/>
        <w:gridCol w:w="2097"/>
      </w:tblGrid>
      <w:tr w14:paraId="57A1896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1C6D53C8">
            <w:pPr>
              <w:jc w:val="center"/>
              <w:rPr>
                <w:rFonts w:ascii="宋体" w:hAnsi="宋体" w:eastAsia="宋体" w:cs="宋体"/>
                <w:sz w:val="24"/>
                <w:szCs w:val="24"/>
              </w:rPr>
            </w:pPr>
            <w:r>
              <w:rPr>
                <w:rStyle w:val="241"/>
                <w:rFonts w:hint="default"/>
              </w:rPr>
              <w:t>额定输入电压</w:t>
            </w:r>
          </w:p>
        </w:tc>
        <w:tc>
          <w:tcPr>
            <w:tcW w:w="4901" w:type="dxa"/>
            <w:gridSpan w:val="3"/>
            <w:vAlign w:val="center"/>
          </w:tcPr>
          <w:p w14:paraId="78B0EA73">
            <w:pPr>
              <w:jc w:val="center"/>
              <w:rPr>
                <w:rFonts w:ascii="宋体" w:hAnsi="宋体" w:eastAsia="宋体" w:cs="宋体"/>
                <w:sz w:val="24"/>
                <w:szCs w:val="24"/>
              </w:rPr>
            </w:pPr>
            <w:r>
              <w:rPr>
                <w:rStyle w:val="241"/>
                <w:rFonts w:hint="default"/>
              </w:rPr>
              <w:t>ADC110V/220V</w:t>
            </w:r>
            <w:r>
              <w:rPr>
                <w:rStyle w:val="242"/>
                <w:rFonts w:hint="default"/>
              </w:rPr>
              <w:t xml:space="preserve">（± </w:t>
            </w:r>
            <w:r>
              <w:rPr>
                <w:rStyle w:val="241"/>
                <w:rFonts w:hint="default"/>
              </w:rPr>
              <w:t>20%</w:t>
            </w:r>
            <w:r>
              <w:rPr>
                <w:rStyle w:val="242"/>
                <w:rFonts w:hint="default"/>
              </w:rPr>
              <w:t>）</w:t>
            </w:r>
          </w:p>
        </w:tc>
      </w:tr>
      <w:tr w14:paraId="409433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1559C1F7">
            <w:pPr>
              <w:jc w:val="center"/>
              <w:rPr>
                <w:rFonts w:ascii="宋体" w:hAnsi="宋体" w:eastAsia="宋体" w:cs="宋体"/>
                <w:sz w:val="24"/>
                <w:szCs w:val="24"/>
              </w:rPr>
            </w:pPr>
            <w:r>
              <w:rPr>
                <w:rStyle w:val="241"/>
                <w:rFonts w:hint="default"/>
              </w:rPr>
              <w:t>输入频率范围</w:t>
            </w:r>
          </w:p>
        </w:tc>
        <w:tc>
          <w:tcPr>
            <w:tcW w:w="4901" w:type="dxa"/>
            <w:gridSpan w:val="3"/>
            <w:vAlign w:val="center"/>
          </w:tcPr>
          <w:p w14:paraId="5C46A99F">
            <w:pPr>
              <w:jc w:val="center"/>
              <w:rPr>
                <w:rFonts w:ascii="宋体" w:hAnsi="宋体" w:eastAsia="宋体" w:cs="宋体"/>
                <w:sz w:val="24"/>
                <w:szCs w:val="24"/>
              </w:rPr>
            </w:pPr>
            <w:r>
              <w:rPr>
                <w:rStyle w:val="241"/>
                <w:rFonts w:hint="default"/>
              </w:rPr>
              <w:t>47-63HZ</w:t>
            </w:r>
          </w:p>
        </w:tc>
      </w:tr>
      <w:tr w14:paraId="5DF0AC3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1E5B1090">
            <w:pPr>
              <w:jc w:val="center"/>
              <w:rPr>
                <w:rFonts w:ascii="宋体" w:hAnsi="宋体" w:eastAsia="宋体" w:cs="宋体"/>
                <w:sz w:val="24"/>
                <w:szCs w:val="24"/>
              </w:rPr>
            </w:pPr>
            <w:r>
              <w:rPr>
                <w:rStyle w:val="241"/>
                <w:rFonts w:hint="default"/>
              </w:rPr>
              <w:t>输出功率</w:t>
            </w:r>
          </w:p>
        </w:tc>
        <w:tc>
          <w:tcPr>
            <w:tcW w:w="4901" w:type="dxa"/>
            <w:gridSpan w:val="3"/>
            <w:vAlign w:val="center"/>
          </w:tcPr>
          <w:p w14:paraId="4BBA1DDD">
            <w:pPr>
              <w:jc w:val="center"/>
              <w:rPr>
                <w:rFonts w:ascii="宋体" w:hAnsi="宋体" w:eastAsia="宋体" w:cs="宋体"/>
                <w:sz w:val="24"/>
                <w:szCs w:val="24"/>
              </w:rPr>
            </w:pPr>
            <w:r>
              <w:rPr>
                <w:rStyle w:val="241"/>
                <w:rFonts w:hint="eastAsia"/>
                <w:lang w:val="en-US" w:eastAsia="zh-CN"/>
              </w:rPr>
              <w:t>30</w:t>
            </w:r>
            <w:r>
              <w:rPr>
                <w:rStyle w:val="241"/>
                <w:rFonts w:hint="default"/>
              </w:rPr>
              <w:t>W</w:t>
            </w:r>
          </w:p>
        </w:tc>
      </w:tr>
      <w:tr w14:paraId="4F61D7B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586EDA55">
            <w:pPr>
              <w:widowControl/>
              <w:jc w:val="center"/>
              <w:rPr>
                <w:rFonts w:ascii="宋体" w:hAnsi="宋体" w:eastAsia="宋体" w:cs="宋体"/>
                <w:kern w:val="0"/>
                <w:sz w:val="24"/>
                <w:szCs w:val="24"/>
              </w:rPr>
            </w:pPr>
            <w:r>
              <w:rPr>
                <w:rFonts w:ascii="宋体" w:hAnsi="宋体" w:eastAsia="宋体" w:cs="宋体"/>
                <w:color w:val="000000"/>
                <w:kern w:val="0"/>
                <w:sz w:val="24"/>
                <w:szCs w:val="24"/>
              </w:rPr>
              <w:t>输出电压</w:t>
            </w:r>
          </w:p>
        </w:tc>
        <w:tc>
          <w:tcPr>
            <w:tcW w:w="1591" w:type="dxa"/>
            <w:tcBorders>
              <w:right w:val="single" w:color="auto" w:sz="4" w:space="0"/>
            </w:tcBorders>
            <w:vAlign w:val="center"/>
          </w:tcPr>
          <w:p w14:paraId="563FD6DE">
            <w:pPr>
              <w:widowControl/>
              <w:jc w:val="center"/>
              <w:rPr>
                <w:rFonts w:ascii="宋体" w:hAnsi="宋体" w:eastAsia="宋体" w:cs="宋体"/>
                <w:kern w:val="0"/>
                <w:sz w:val="24"/>
                <w:szCs w:val="24"/>
              </w:rPr>
            </w:pPr>
            <w:r>
              <w:rPr>
                <w:rFonts w:ascii="宋体" w:hAnsi="宋体" w:eastAsia="宋体" w:cs="宋体"/>
                <w:color w:val="000000"/>
                <w:kern w:val="0"/>
                <w:sz w:val="24"/>
                <w:szCs w:val="24"/>
              </w:rPr>
              <w:t>V1=5V</w:t>
            </w:r>
          </w:p>
        </w:tc>
        <w:tc>
          <w:tcPr>
            <w:tcW w:w="1213" w:type="dxa"/>
            <w:tcBorders>
              <w:left w:val="single" w:color="auto" w:sz="4" w:space="0"/>
            </w:tcBorders>
            <w:vAlign w:val="center"/>
          </w:tcPr>
          <w:p w14:paraId="3CB18073">
            <w:pPr>
              <w:widowControl/>
              <w:jc w:val="center"/>
              <w:rPr>
                <w:rFonts w:ascii="宋体" w:hAnsi="宋体" w:eastAsia="宋体" w:cs="宋体"/>
                <w:kern w:val="0"/>
                <w:sz w:val="24"/>
                <w:szCs w:val="24"/>
              </w:rPr>
            </w:pPr>
            <w:r>
              <w:rPr>
                <w:rFonts w:ascii="宋体" w:hAnsi="宋体" w:eastAsia="宋体" w:cs="宋体"/>
                <w:color w:val="000000"/>
                <w:kern w:val="0"/>
                <w:sz w:val="24"/>
                <w:szCs w:val="24"/>
              </w:rPr>
              <w:t>V</w:t>
            </w:r>
            <w:r>
              <w:rPr>
                <w:rFonts w:hint="eastAsia" w:ascii="宋体" w:hAnsi="宋体" w:eastAsia="宋体" w:cs="宋体"/>
                <w:color w:val="000000"/>
                <w:kern w:val="0"/>
                <w:sz w:val="24"/>
                <w:szCs w:val="24"/>
              </w:rPr>
              <w:t>2</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24</w:t>
            </w:r>
            <w:r>
              <w:rPr>
                <w:rFonts w:ascii="宋体" w:hAnsi="宋体" w:eastAsia="宋体" w:cs="宋体"/>
                <w:color w:val="000000"/>
                <w:kern w:val="0"/>
                <w:sz w:val="24"/>
                <w:szCs w:val="24"/>
              </w:rPr>
              <w:t>V</w:t>
            </w:r>
          </w:p>
        </w:tc>
        <w:tc>
          <w:tcPr>
            <w:tcW w:w="2097" w:type="dxa"/>
            <w:vAlign w:val="center"/>
          </w:tcPr>
          <w:p w14:paraId="69844004">
            <w:pPr>
              <w:widowControl/>
              <w:jc w:val="center"/>
              <w:rPr>
                <w:rFonts w:ascii="宋体" w:hAnsi="宋体" w:eastAsia="宋体" w:cs="宋体"/>
                <w:kern w:val="0"/>
                <w:sz w:val="24"/>
                <w:szCs w:val="24"/>
              </w:rPr>
            </w:pPr>
            <w:r>
              <w:rPr>
                <w:rFonts w:ascii="宋体" w:hAnsi="宋体" w:eastAsia="宋体" w:cs="宋体"/>
                <w:color w:val="000000"/>
                <w:kern w:val="0"/>
                <w:sz w:val="24"/>
                <w:szCs w:val="24"/>
              </w:rPr>
              <w:t>V</w:t>
            </w:r>
            <w:r>
              <w:rPr>
                <w:rFonts w:hint="eastAsia" w:ascii="宋体" w:hAnsi="宋体" w:eastAsia="宋体" w:cs="宋体"/>
                <w:color w:val="000000"/>
                <w:kern w:val="0"/>
                <w:sz w:val="24"/>
                <w:szCs w:val="24"/>
              </w:rPr>
              <w:t>3</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5</w:t>
            </w:r>
            <w:r>
              <w:rPr>
                <w:rFonts w:ascii="宋体" w:hAnsi="宋体" w:eastAsia="宋体" w:cs="宋体"/>
                <w:color w:val="000000"/>
                <w:kern w:val="0"/>
                <w:sz w:val="24"/>
                <w:szCs w:val="24"/>
              </w:rPr>
              <w:t>V</w:t>
            </w:r>
          </w:p>
        </w:tc>
      </w:tr>
      <w:tr w14:paraId="5A5501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65B3F411">
            <w:pPr>
              <w:widowControl/>
              <w:jc w:val="center"/>
              <w:rPr>
                <w:rFonts w:ascii="宋体" w:hAnsi="宋体" w:eastAsia="宋体" w:cs="宋体"/>
                <w:kern w:val="0"/>
                <w:sz w:val="24"/>
                <w:szCs w:val="24"/>
              </w:rPr>
            </w:pPr>
            <w:r>
              <w:rPr>
                <w:rFonts w:ascii="宋体" w:hAnsi="宋体" w:eastAsia="宋体" w:cs="宋体"/>
                <w:color w:val="000000"/>
                <w:kern w:val="0"/>
                <w:sz w:val="24"/>
                <w:szCs w:val="24"/>
              </w:rPr>
              <w:t>输出电流</w:t>
            </w:r>
          </w:p>
        </w:tc>
        <w:tc>
          <w:tcPr>
            <w:tcW w:w="1591" w:type="dxa"/>
            <w:tcBorders>
              <w:right w:val="single" w:color="auto" w:sz="4" w:space="0"/>
            </w:tcBorders>
            <w:vAlign w:val="center"/>
          </w:tcPr>
          <w:p w14:paraId="4A314EA9">
            <w:pPr>
              <w:widowControl/>
              <w:ind w:firstLine="480" w:firstLineChars="200"/>
              <w:jc w:val="left"/>
              <w:rPr>
                <w:rFonts w:ascii="宋体" w:hAnsi="宋体" w:eastAsia="宋体" w:cs="宋体"/>
                <w:kern w:val="0"/>
                <w:sz w:val="24"/>
                <w:szCs w:val="24"/>
              </w:rPr>
            </w:pPr>
            <w:r>
              <w:rPr>
                <w:rFonts w:hint="eastAsia" w:ascii="宋体" w:hAnsi="宋体" w:eastAsia="宋体" w:cs="宋体"/>
                <w:color w:val="000000"/>
                <w:kern w:val="0"/>
                <w:sz w:val="24"/>
                <w:szCs w:val="24"/>
              </w:rPr>
              <w:t>3</w:t>
            </w:r>
            <w:r>
              <w:rPr>
                <w:rFonts w:ascii="宋体" w:hAnsi="宋体" w:eastAsia="宋体" w:cs="宋体"/>
                <w:color w:val="000000"/>
                <w:kern w:val="0"/>
                <w:sz w:val="24"/>
                <w:szCs w:val="24"/>
              </w:rPr>
              <w:t>A</w:t>
            </w:r>
          </w:p>
        </w:tc>
        <w:tc>
          <w:tcPr>
            <w:tcW w:w="1213" w:type="dxa"/>
            <w:tcBorders>
              <w:left w:val="single" w:color="auto" w:sz="4" w:space="0"/>
            </w:tcBorders>
            <w:vAlign w:val="center"/>
          </w:tcPr>
          <w:p w14:paraId="25185F1C">
            <w:pPr>
              <w:widowControl/>
              <w:ind w:firstLine="240" w:firstLineChars="100"/>
              <w:jc w:val="left"/>
              <w:rPr>
                <w:rFonts w:ascii="宋体" w:hAnsi="宋体" w:eastAsia="宋体" w:cs="宋体"/>
                <w:kern w:val="0"/>
                <w:sz w:val="24"/>
                <w:szCs w:val="24"/>
              </w:rPr>
            </w:pPr>
            <w:r>
              <w:rPr>
                <w:rFonts w:hint="eastAsia" w:ascii="宋体" w:hAnsi="宋体" w:eastAsia="宋体" w:cs="宋体"/>
                <w:color w:val="000000"/>
                <w:kern w:val="0"/>
                <w:sz w:val="24"/>
                <w:szCs w:val="24"/>
              </w:rPr>
              <w:t>0.5</w:t>
            </w:r>
            <w:r>
              <w:rPr>
                <w:rFonts w:ascii="宋体" w:hAnsi="宋体" w:eastAsia="宋体" w:cs="宋体"/>
                <w:color w:val="000000"/>
                <w:kern w:val="0"/>
                <w:sz w:val="24"/>
                <w:szCs w:val="24"/>
              </w:rPr>
              <w:t>A</w:t>
            </w:r>
          </w:p>
        </w:tc>
        <w:tc>
          <w:tcPr>
            <w:tcW w:w="2097" w:type="dxa"/>
            <w:vAlign w:val="center"/>
          </w:tcPr>
          <w:p w14:paraId="3822C18F">
            <w:pPr>
              <w:widowControl/>
              <w:jc w:val="center"/>
              <w:rPr>
                <w:rFonts w:ascii="宋体" w:hAnsi="宋体" w:eastAsia="宋体" w:cs="宋体"/>
                <w:kern w:val="0"/>
                <w:sz w:val="24"/>
                <w:szCs w:val="24"/>
              </w:rPr>
            </w:pPr>
            <w:r>
              <w:rPr>
                <w:rFonts w:ascii="宋体" w:hAnsi="宋体" w:eastAsia="宋体" w:cs="宋体"/>
                <w:color w:val="000000"/>
                <w:kern w:val="0"/>
                <w:sz w:val="24"/>
                <w:szCs w:val="24"/>
              </w:rPr>
              <w:t>0.</w:t>
            </w:r>
            <w:r>
              <w:rPr>
                <w:rFonts w:hint="eastAsia" w:ascii="宋体" w:hAnsi="宋体" w:eastAsia="宋体" w:cs="宋体"/>
                <w:color w:val="000000"/>
                <w:kern w:val="0"/>
                <w:sz w:val="24"/>
                <w:szCs w:val="24"/>
              </w:rPr>
              <w:t>2</w:t>
            </w:r>
            <w:r>
              <w:rPr>
                <w:rFonts w:ascii="宋体" w:hAnsi="宋体" w:eastAsia="宋体" w:cs="宋体"/>
                <w:color w:val="000000"/>
                <w:kern w:val="0"/>
                <w:sz w:val="24"/>
                <w:szCs w:val="24"/>
              </w:rPr>
              <w:t>A</w:t>
            </w:r>
          </w:p>
        </w:tc>
      </w:tr>
      <w:tr w14:paraId="02E629E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16" w:type="dxa"/>
            <w:vMerge w:val="restart"/>
            <w:tcBorders>
              <w:right w:val="single" w:color="auto" w:sz="4" w:space="0"/>
            </w:tcBorders>
            <w:vAlign w:val="center"/>
          </w:tcPr>
          <w:p w14:paraId="3547A0AD">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耐压</w:t>
            </w:r>
          </w:p>
        </w:tc>
        <w:tc>
          <w:tcPr>
            <w:tcW w:w="1984" w:type="dxa"/>
            <w:tcBorders>
              <w:left w:val="single" w:color="auto" w:sz="4" w:space="0"/>
            </w:tcBorders>
            <w:vAlign w:val="center"/>
          </w:tcPr>
          <w:p w14:paraId="42BBEFC4">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输入-输出</w:t>
            </w:r>
          </w:p>
        </w:tc>
        <w:tc>
          <w:tcPr>
            <w:tcW w:w="4901" w:type="dxa"/>
            <w:gridSpan w:val="3"/>
            <w:vAlign w:val="center"/>
          </w:tcPr>
          <w:p w14:paraId="64B8AFC9">
            <w:pPr>
              <w:jc w:val="center"/>
              <w:rPr>
                <w:rFonts w:ascii="宋体" w:hAnsi="宋体" w:eastAsia="宋体" w:cs="宋体"/>
                <w:sz w:val="24"/>
                <w:szCs w:val="24"/>
              </w:rPr>
            </w:pPr>
            <w:r>
              <w:rPr>
                <w:rStyle w:val="241"/>
                <w:rFonts w:hint="default"/>
              </w:rPr>
              <w:t>2000Vac</w:t>
            </w:r>
          </w:p>
        </w:tc>
      </w:tr>
      <w:tr w14:paraId="53AA87E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16" w:type="dxa"/>
            <w:vMerge w:val="continue"/>
            <w:tcBorders>
              <w:right w:val="single" w:color="auto" w:sz="4" w:space="0"/>
            </w:tcBorders>
            <w:vAlign w:val="center"/>
          </w:tcPr>
          <w:p w14:paraId="6E585C8C">
            <w:pPr>
              <w:widowControl/>
              <w:jc w:val="center"/>
              <w:rPr>
                <w:rFonts w:ascii="宋体" w:hAnsi="宋体" w:eastAsia="宋体" w:cs="宋体"/>
                <w:b/>
                <w:color w:val="000000"/>
                <w:kern w:val="0"/>
                <w:sz w:val="22"/>
              </w:rPr>
            </w:pPr>
          </w:p>
        </w:tc>
        <w:tc>
          <w:tcPr>
            <w:tcW w:w="1984" w:type="dxa"/>
            <w:tcBorders>
              <w:left w:val="single" w:color="auto" w:sz="4" w:space="0"/>
            </w:tcBorders>
            <w:vAlign w:val="center"/>
          </w:tcPr>
          <w:p w14:paraId="1908DC4A">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输出-输出</w:t>
            </w:r>
          </w:p>
        </w:tc>
        <w:tc>
          <w:tcPr>
            <w:tcW w:w="4901" w:type="dxa"/>
            <w:gridSpan w:val="3"/>
            <w:vAlign w:val="center"/>
          </w:tcPr>
          <w:p w14:paraId="4E63DFEC">
            <w:pPr>
              <w:jc w:val="center"/>
              <w:rPr>
                <w:rFonts w:ascii="宋体" w:hAnsi="宋体" w:eastAsia="宋体" w:cs="宋体"/>
                <w:sz w:val="24"/>
                <w:szCs w:val="24"/>
              </w:rPr>
            </w:pPr>
            <w:r>
              <w:rPr>
                <w:rStyle w:val="241"/>
                <w:rFonts w:hint="default"/>
              </w:rPr>
              <w:t>500Vac</w:t>
            </w:r>
          </w:p>
        </w:tc>
      </w:tr>
      <w:tr w14:paraId="06D09E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16" w:type="dxa"/>
            <w:vMerge w:val="continue"/>
            <w:tcBorders>
              <w:right w:val="single" w:color="auto" w:sz="4" w:space="0"/>
            </w:tcBorders>
            <w:vAlign w:val="center"/>
          </w:tcPr>
          <w:p w14:paraId="4549FA31">
            <w:pPr>
              <w:widowControl/>
              <w:jc w:val="center"/>
              <w:rPr>
                <w:rFonts w:ascii="宋体" w:hAnsi="宋体" w:eastAsia="宋体" w:cs="宋体"/>
                <w:b/>
                <w:color w:val="000000"/>
                <w:kern w:val="0"/>
                <w:sz w:val="22"/>
              </w:rPr>
            </w:pPr>
          </w:p>
        </w:tc>
        <w:tc>
          <w:tcPr>
            <w:tcW w:w="1984" w:type="dxa"/>
            <w:tcBorders>
              <w:left w:val="single" w:color="auto" w:sz="4" w:space="0"/>
            </w:tcBorders>
            <w:vAlign w:val="center"/>
          </w:tcPr>
          <w:p w14:paraId="10B3077F">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输入-地</w:t>
            </w:r>
          </w:p>
        </w:tc>
        <w:tc>
          <w:tcPr>
            <w:tcW w:w="4901" w:type="dxa"/>
            <w:gridSpan w:val="3"/>
            <w:vAlign w:val="center"/>
          </w:tcPr>
          <w:p w14:paraId="5540D375">
            <w:pPr>
              <w:jc w:val="center"/>
              <w:rPr>
                <w:rStyle w:val="241"/>
                <w:rFonts w:hint="default"/>
              </w:rPr>
            </w:pPr>
            <w:r>
              <w:rPr>
                <w:rStyle w:val="241"/>
                <w:rFonts w:hint="default"/>
              </w:rPr>
              <w:t>2000Vac</w:t>
            </w:r>
          </w:p>
        </w:tc>
      </w:tr>
      <w:tr w14:paraId="10056B8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160FAE7A">
            <w:pPr>
              <w:jc w:val="center"/>
              <w:rPr>
                <w:rFonts w:ascii="宋体" w:hAnsi="宋体" w:eastAsia="宋体" w:cs="宋体"/>
                <w:sz w:val="24"/>
                <w:szCs w:val="24"/>
              </w:rPr>
            </w:pPr>
            <w:r>
              <w:rPr>
                <w:rStyle w:val="241"/>
                <w:rFonts w:hint="default"/>
              </w:rPr>
              <w:t>脉冲群</w:t>
            </w:r>
          </w:p>
        </w:tc>
        <w:tc>
          <w:tcPr>
            <w:tcW w:w="4901" w:type="dxa"/>
            <w:gridSpan w:val="3"/>
            <w:vAlign w:val="center"/>
          </w:tcPr>
          <w:p w14:paraId="14EB31A4">
            <w:pPr>
              <w:jc w:val="center"/>
              <w:rPr>
                <w:rFonts w:ascii="宋体" w:hAnsi="宋体" w:eastAsia="宋体" w:cs="宋体"/>
                <w:sz w:val="24"/>
                <w:szCs w:val="24"/>
              </w:rPr>
            </w:pPr>
            <w:r>
              <w:rPr>
                <w:rStyle w:val="241"/>
                <w:rFonts w:hint="default"/>
              </w:rPr>
              <w:t>IIEC 61000-4-4、 GB/T 176266.4－ 2008 4 级</w:t>
            </w:r>
          </w:p>
        </w:tc>
      </w:tr>
      <w:tr w14:paraId="320E0C0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52D25446">
            <w:pPr>
              <w:jc w:val="center"/>
              <w:rPr>
                <w:rFonts w:ascii="宋体" w:hAnsi="宋体" w:eastAsia="宋体" w:cs="宋体"/>
                <w:sz w:val="24"/>
                <w:szCs w:val="24"/>
              </w:rPr>
            </w:pPr>
            <w:r>
              <w:rPr>
                <w:rStyle w:val="241"/>
                <w:rFonts w:hint="default"/>
              </w:rPr>
              <w:t>静电放电</w:t>
            </w:r>
          </w:p>
        </w:tc>
        <w:tc>
          <w:tcPr>
            <w:tcW w:w="4901" w:type="dxa"/>
            <w:gridSpan w:val="3"/>
            <w:vAlign w:val="center"/>
          </w:tcPr>
          <w:p w14:paraId="17464871">
            <w:pPr>
              <w:jc w:val="center"/>
              <w:rPr>
                <w:rFonts w:ascii="宋体" w:hAnsi="宋体" w:eastAsia="宋体" w:cs="宋体"/>
                <w:sz w:val="24"/>
                <w:szCs w:val="24"/>
              </w:rPr>
            </w:pPr>
            <w:r>
              <w:rPr>
                <w:rStyle w:val="241"/>
                <w:rFonts w:hint="default"/>
              </w:rPr>
              <w:t>IIEC 61000-4-2、 GB/T 176266.2－ 2006 4 级</w:t>
            </w:r>
          </w:p>
        </w:tc>
      </w:tr>
      <w:tr w14:paraId="671A9AD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085779AB">
            <w:pPr>
              <w:jc w:val="center"/>
              <w:rPr>
                <w:rFonts w:ascii="宋体" w:hAnsi="宋体" w:eastAsia="宋体" w:cs="宋体"/>
                <w:sz w:val="24"/>
                <w:szCs w:val="24"/>
              </w:rPr>
            </w:pPr>
            <w:r>
              <w:rPr>
                <w:rStyle w:val="241"/>
                <w:rFonts w:hint="default"/>
              </w:rPr>
              <w:t>浪涌</w:t>
            </w:r>
          </w:p>
        </w:tc>
        <w:tc>
          <w:tcPr>
            <w:tcW w:w="4901" w:type="dxa"/>
            <w:gridSpan w:val="3"/>
            <w:vAlign w:val="center"/>
          </w:tcPr>
          <w:p w14:paraId="235B44AD">
            <w:pPr>
              <w:jc w:val="center"/>
              <w:rPr>
                <w:rFonts w:ascii="宋体" w:hAnsi="宋体" w:eastAsia="宋体" w:cs="宋体"/>
                <w:sz w:val="24"/>
                <w:szCs w:val="24"/>
              </w:rPr>
            </w:pPr>
            <w:r>
              <w:rPr>
                <w:rStyle w:val="241"/>
                <w:rFonts w:hint="default"/>
              </w:rPr>
              <w:t>IIEC 61000-4-5、 GB/T 176266.5－ 2008 4 级</w:t>
            </w:r>
          </w:p>
        </w:tc>
      </w:tr>
      <w:tr w14:paraId="11AA4DD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5512E84E">
            <w:pPr>
              <w:widowControl/>
              <w:jc w:val="center"/>
              <w:rPr>
                <w:rFonts w:ascii="宋体" w:hAnsi="宋体" w:eastAsia="宋体" w:cs="宋体"/>
                <w:kern w:val="0"/>
                <w:sz w:val="24"/>
                <w:szCs w:val="24"/>
              </w:rPr>
            </w:pPr>
            <w:r>
              <w:rPr>
                <w:rFonts w:ascii="宋体" w:hAnsi="宋体" w:eastAsia="宋体" w:cs="宋体"/>
                <w:color w:val="000000"/>
                <w:kern w:val="0"/>
                <w:sz w:val="24"/>
                <w:szCs w:val="24"/>
              </w:rPr>
              <w:t>工作温度</w:t>
            </w:r>
          </w:p>
        </w:tc>
        <w:tc>
          <w:tcPr>
            <w:tcW w:w="4901" w:type="dxa"/>
            <w:gridSpan w:val="3"/>
            <w:vAlign w:val="center"/>
          </w:tcPr>
          <w:p w14:paraId="481E5087">
            <w:pPr>
              <w:jc w:val="center"/>
              <w:rPr>
                <w:rFonts w:ascii="宋体" w:hAnsi="宋体" w:eastAsia="宋体" w:cs="宋体"/>
                <w:sz w:val="24"/>
                <w:szCs w:val="24"/>
              </w:rPr>
            </w:pPr>
            <w:r>
              <w:rPr>
                <w:rStyle w:val="241"/>
                <w:rFonts w:hint="default"/>
              </w:rPr>
              <w:t>-10 ~+55</w:t>
            </w:r>
            <w:r>
              <w:rPr>
                <w:rStyle w:val="243"/>
              </w:rPr>
              <w:t>℃</w:t>
            </w:r>
          </w:p>
        </w:tc>
      </w:tr>
      <w:tr w14:paraId="1DC7F2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539D61B0">
            <w:pPr>
              <w:widowControl/>
              <w:jc w:val="center"/>
              <w:rPr>
                <w:rFonts w:ascii="宋体" w:hAnsi="宋体" w:eastAsia="宋体" w:cs="宋体"/>
                <w:kern w:val="0"/>
                <w:sz w:val="24"/>
                <w:szCs w:val="24"/>
              </w:rPr>
            </w:pPr>
            <w:r>
              <w:rPr>
                <w:rFonts w:ascii="宋体" w:hAnsi="宋体" w:eastAsia="宋体" w:cs="宋体"/>
                <w:color w:val="000000"/>
                <w:kern w:val="0"/>
                <w:sz w:val="24"/>
                <w:szCs w:val="24"/>
              </w:rPr>
              <w:t>存储温度</w:t>
            </w:r>
          </w:p>
        </w:tc>
        <w:tc>
          <w:tcPr>
            <w:tcW w:w="4901" w:type="dxa"/>
            <w:gridSpan w:val="3"/>
            <w:vAlign w:val="center"/>
          </w:tcPr>
          <w:p w14:paraId="52BFAC8F">
            <w:pPr>
              <w:jc w:val="center"/>
              <w:rPr>
                <w:rFonts w:ascii="宋体" w:hAnsi="宋体" w:eastAsia="宋体" w:cs="宋体"/>
                <w:sz w:val="24"/>
                <w:szCs w:val="24"/>
              </w:rPr>
            </w:pPr>
            <w:r>
              <w:rPr>
                <w:rStyle w:val="241"/>
                <w:rFonts w:hint="default"/>
              </w:rPr>
              <w:t>－</w:t>
            </w:r>
            <w:r>
              <w:rPr>
                <w:rStyle w:val="242"/>
                <w:rFonts w:hint="default"/>
              </w:rPr>
              <w:t>25</w:t>
            </w:r>
            <w:r>
              <w:rPr>
                <w:rStyle w:val="241"/>
                <w:rFonts w:hint="default"/>
              </w:rPr>
              <w:t xml:space="preserve">℃ </w:t>
            </w:r>
            <w:r>
              <w:rPr>
                <w:rStyle w:val="242"/>
                <w:rFonts w:hint="default"/>
              </w:rPr>
              <w:t xml:space="preserve">~ </w:t>
            </w:r>
            <w:r>
              <w:rPr>
                <w:rStyle w:val="241"/>
                <w:rFonts w:hint="default"/>
              </w:rPr>
              <w:t>＋</w:t>
            </w:r>
            <w:r>
              <w:rPr>
                <w:rStyle w:val="242"/>
                <w:rFonts w:hint="default"/>
              </w:rPr>
              <w:t>75</w:t>
            </w:r>
            <w:r>
              <w:rPr>
                <w:rStyle w:val="241"/>
                <w:rFonts w:hint="default"/>
              </w:rPr>
              <w:t>℃</w:t>
            </w:r>
          </w:p>
        </w:tc>
      </w:tr>
      <w:tr w14:paraId="533DA90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2DC2477E">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电压调整率和负载调整率</w:t>
            </w:r>
          </w:p>
        </w:tc>
        <w:tc>
          <w:tcPr>
            <w:tcW w:w="4901" w:type="dxa"/>
            <w:gridSpan w:val="3"/>
            <w:vAlign w:val="center"/>
          </w:tcPr>
          <w:p w14:paraId="5126BCF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r>
      <w:tr w14:paraId="453D538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42DF796E">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纹波加噪声</w:t>
            </w:r>
          </w:p>
        </w:tc>
        <w:tc>
          <w:tcPr>
            <w:tcW w:w="4901" w:type="dxa"/>
            <w:gridSpan w:val="3"/>
            <w:vAlign w:val="center"/>
          </w:tcPr>
          <w:p w14:paraId="34F61831">
            <w:pPr>
              <w:widowControl/>
              <w:jc w:val="center"/>
              <w:rPr>
                <w:rFonts w:ascii="宋体" w:hAnsi="宋体" w:eastAsia="宋体" w:cs="宋体"/>
                <w:color w:val="000000"/>
                <w:kern w:val="0"/>
                <w:sz w:val="24"/>
                <w:szCs w:val="24"/>
              </w:rPr>
            </w:pPr>
            <w:r>
              <w:rPr>
                <w:rFonts w:hint="eastAsia" w:ascii="TimesNewRomanPSMT" w:hAnsi="TimesNewRomanPSMT"/>
                <w:color w:val="000000"/>
                <w:sz w:val="18"/>
                <w:szCs w:val="18"/>
              </w:rPr>
              <w:t>100mV/1%</w:t>
            </w:r>
          </w:p>
        </w:tc>
      </w:tr>
      <w:tr w14:paraId="48AF1AF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3E5EE223">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效率</w:t>
            </w:r>
          </w:p>
        </w:tc>
        <w:tc>
          <w:tcPr>
            <w:tcW w:w="4901" w:type="dxa"/>
            <w:gridSpan w:val="3"/>
            <w:vAlign w:val="center"/>
          </w:tcPr>
          <w:p w14:paraId="5AFF0EEE">
            <w:pPr>
              <w:widowControl/>
              <w:jc w:val="center"/>
              <w:rPr>
                <w:rFonts w:hint="eastAsia" w:ascii="TimesNewRomanPSMT" w:hAnsi="TimesNewRomanPSMT"/>
                <w:color w:val="000000"/>
                <w:sz w:val="18"/>
                <w:szCs w:val="18"/>
              </w:rPr>
            </w:pPr>
            <w:r>
              <w:rPr>
                <w:rFonts w:hint="eastAsia" w:ascii="TimesNewRomanPSMT" w:hAnsi="TimesNewRomanPSMT"/>
                <w:color w:val="000000"/>
                <w:sz w:val="18"/>
                <w:szCs w:val="18"/>
              </w:rPr>
              <w:t>75%</w:t>
            </w:r>
          </w:p>
        </w:tc>
      </w:tr>
      <w:tr w14:paraId="2D3526B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3400" w:type="dxa"/>
            <w:gridSpan w:val="2"/>
            <w:vAlign w:val="center"/>
          </w:tcPr>
          <w:p w14:paraId="4E9456A6">
            <w:pPr>
              <w:rPr>
                <w:rFonts w:ascii="宋体" w:hAnsi="宋体" w:eastAsia="宋体" w:cs="宋体"/>
                <w:sz w:val="24"/>
                <w:szCs w:val="24"/>
              </w:rPr>
            </w:pPr>
            <w:r>
              <w:rPr>
                <w:rStyle w:val="241"/>
                <w:rFonts w:hint="default"/>
              </w:rPr>
              <w:t>平均无故障时间MTBF</w:t>
            </w:r>
          </w:p>
        </w:tc>
        <w:tc>
          <w:tcPr>
            <w:tcW w:w="4901" w:type="dxa"/>
            <w:gridSpan w:val="3"/>
            <w:vAlign w:val="center"/>
          </w:tcPr>
          <w:p w14:paraId="43375C9D">
            <w:pPr>
              <w:jc w:val="center"/>
              <w:rPr>
                <w:rFonts w:ascii="宋体" w:hAnsi="宋体" w:eastAsia="宋体" w:cs="宋体"/>
                <w:sz w:val="24"/>
                <w:szCs w:val="24"/>
              </w:rPr>
            </w:pPr>
            <w:r>
              <w:rPr>
                <w:rStyle w:val="241"/>
                <w:rFonts w:hint="default"/>
              </w:rPr>
              <w:t>200K</w:t>
            </w:r>
            <w:r>
              <w:rPr>
                <w:rFonts w:hint="eastAsia" w:ascii="宋体" w:hAnsi="宋体" w:eastAsia="宋体" w:cs="宋体"/>
                <w:color w:val="000000"/>
                <w:kern w:val="0"/>
                <w:sz w:val="24"/>
                <w:szCs w:val="24"/>
              </w:rPr>
              <w:t>/h</w:t>
            </w:r>
          </w:p>
        </w:tc>
      </w:tr>
    </w:tbl>
    <w:p w14:paraId="6EAC86C4">
      <w:pPr>
        <w:ind w:left="840" w:hanging="420"/>
        <w:rPr>
          <w:highlight w:val="yellow"/>
        </w:rPr>
      </w:pPr>
    </w:p>
    <w:p w14:paraId="38DEF116">
      <w:pPr>
        <w:ind w:left="840" w:hanging="420"/>
        <w:rPr>
          <w:highlight w:val="yellow"/>
        </w:rPr>
      </w:pPr>
    </w:p>
    <w:p w14:paraId="34DFB3AB">
      <w:pPr>
        <w:pStyle w:val="60"/>
      </w:pPr>
      <w:r>
        <w:rPr>
          <w:rFonts w:hint="eastAsia"/>
        </w:rPr>
        <w:t>5</w:t>
      </w:r>
      <w:r>
        <w:rPr>
          <w:rFonts w:hint="eastAsia"/>
          <w:spacing w:val="20"/>
        </w:rPr>
        <w:t>.</w:t>
      </w:r>
      <w:r>
        <w:rPr>
          <w:rFonts w:hint="eastAsia"/>
        </w:rPr>
        <w:t>4  结构设计</w:t>
      </w:r>
    </w:p>
    <w:p w14:paraId="1457C0DF">
      <w:pPr>
        <w:autoSpaceDE w:val="0"/>
        <w:autoSpaceDN w:val="0"/>
        <w:adjustRightInd w:val="0"/>
        <w:snapToGrid w:val="0"/>
        <w:spacing w:line="360" w:lineRule="auto"/>
        <w:ind w:firstLine="420" w:firstLineChars="200"/>
        <w:jc w:val="left"/>
        <w:textAlignment w:val="baseline"/>
        <w:outlineLvl w:val="1"/>
        <w:rPr>
          <w:rFonts w:hint="eastAsia"/>
        </w:rPr>
      </w:pPr>
      <w:r>
        <w:rPr>
          <w:rFonts w:hint="eastAsia"/>
        </w:rPr>
        <w:t>a</w:t>
      </w:r>
      <w:r>
        <w:t xml:space="preserve"> </w:t>
      </w:r>
      <w:r>
        <w:rPr>
          <w:rFonts w:hint="eastAsia"/>
        </w:rPr>
        <w:t>)  电源模块示意图：</w:t>
      </w:r>
    </w:p>
    <w:p w14:paraId="1BE0509C">
      <w:pPr>
        <w:rPr>
          <w:highlight w:val="yellow"/>
        </w:rPr>
      </w:pPr>
      <w:r>
        <w:drawing>
          <wp:inline distT="0" distB="0" distL="114300" distR="114300">
            <wp:extent cx="5269230" cy="3995420"/>
            <wp:effectExtent l="0" t="0" r="762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69230" cy="3995420"/>
                    </a:xfrm>
                    <a:prstGeom prst="rect">
                      <a:avLst/>
                    </a:prstGeom>
                    <a:noFill/>
                    <a:ln>
                      <a:noFill/>
                    </a:ln>
                  </pic:spPr>
                </pic:pic>
              </a:graphicData>
            </a:graphic>
          </wp:inline>
        </w:drawing>
      </w:r>
    </w:p>
    <w:p w14:paraId="19551F8F">
      <w:pPr>
        <w:jc w:val="center"/>
        <w:rPr>
          <w:rFonts w:hint="eastAsia"/>
        </w:rPr>
      </w:pPr>
      <w:r>
        <w:rPr>
          <w:rFonts w:hint="eastAsia"/>
          <w:lang w:eastAsia="zh-CN"/>
        </w:rPr>
        <w:t>PMF633H，PMF660BD/AM</w:t>
      </w:r>
      <w:r>
        <w:rPr>
          <w:rFonts w:hint="eastAsia"/>
        </w:rPr>
        <w:t>：</w:t>
      </w:r>
      <w:r>
        <w:rPr>
          <w:rFonts w:hint="eastAsia" w:asciiTheme="minorEastAsia" w:hAnsiTheme="minorEastAsia" w:eastAsiaTheme="minorEastAsia" w:cstheme="minorEastAsia"/>
        </w:rPr>
        <w:t>5-</w:t>
      </w: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电源模块示意图</w:t>
      </w:r>
      <w:r>
        <w:rPr>
          <w:rFonts w:hint="eastAsia"/>
          <w:szCs w:val="21"/>
          <w:lang w:val="en-US" w:eastAsia="zh-CN"/>
        </w:rPr>
        <w:t>A类电源</w:t>
      </w:r>
    </w:p>
    <w:p w14:paraId="54DDCB03">
      <w:pPr>
        <w:jc w:val="center"/>
        <w:rPr>
          <w:rFonts w:hint="eastAsia"/>
          <w:sz w:val="18"/>
          <w:szCs w:val="18"/>
        </w:rPr>
      </w:pPr>
      <w:r>
        <w:drawing>
          <wp:inline distT="0" distB="0" distL="114300" distR="114300">
            <wp:extent cx="5271770" cy="3388360"/>
            <wp:effectExtent l="0" t="0" r="508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271770" cy="3388360"/>
                    </a:xfrm>
                    <a:prstGeom prst="rect">
                      <a:avLst/>
                    </a:prstGeom>
                    <a:noFill/>
                    <a:ln>
                      <a:noFill/>
                    </a:ln>
                  </pic:spPr>
                </pic:pic>
              </a:graphicData>
            </a:graphic>
          </wp:inline>
        </w:drawing>
      </w:r>
    </w:p>
    <w:p w14:paraId="51E28BDA">
      <w:pPr>
        <w:topLinePunct/>
        <w:spacing w:line="312" w:lineRule="exact"/>
        <w:jc w:val="center"/>
        <w:rPr>
          <w:rFonts w:hint="eastAsia" w:asciiTheme="minorEastAsia" w:hAnsiTheme="minorEastAsia" w:eastAsiaTheme="minorEastAsia" w:cstheme="minorEastAsia"/>
          <w:snapToGrid w:val="0"/>
          <w:szCs w:val="21"/>
          <w:lang w:eastAsia="zh-CN"/>
        </w:rPr>
      </w:pPr>
      <w:r>
        <w:rPr>
          <w:rFonts w:hint="eastAsia"/>
          <w:snapToGrid w:val="0"/>
          <w:szCs w:val="21"/>
          <w:lang w:eastAsia="zh-CN"/>
        </w:rPr>
        <w:t>PMF720，PMF702，PMF760，PMF770：</w:t>
      </w:r>
      <w:r>
        <w:rPr>
          <w:rFonts w:hint="eastAsia" w:asciiTheme="minorEastAsia" w:hAnsiTheme="minorEastAsia" w:eastAsiaTheme="minorEastAsia" w:cstheme="minorEastAsia"/>
          <w:snapToGrid w:val="0"/>
          <w:szCs w:val="21"/>
          <w:lang w:eastAsia="zh-CN"/>
        </w:rPr>
        <w:t>5-</w:t>
      </w:r>
      <w:r>
        <w:rPr>
          <w:rFonts w:hint="eastAsia" w:asciiTheme="minorEastAsia" w:hAnsiTheme="minorEastAsia" w:eastAsiaTheme="minorEastAsia" w:cstheme="minorEastAsia"/>
          <w:snapToGrid w:val="0"/>
          <w:szCs w:val="21"/>
          <w:lang w:val="en-US" w:eastAsia="zh-CN"/>
        </w:rPr>
        <w:t>5</w:t>
      </w:r>
      <w:r>
        <w:rPr>
          <w:rFonts w:hint="eastAsia" w:asciiTheme="minorEastAsia" w:hAnsiTheme="minorEastAsia" w:eastAsiaTheme="minorEastAsia" w:cstheme="minorEastAsia"/>
          <w:snapToGrid w:val="0"/>
          <w:szCs w:val="21"/>
          <w:lang w:eastAsia="zh-CN"/>
        </w:rPr>
        <w:t>电源模块示意图</w:t>
      </w:r>
      <w:r>
        <w:rPr>
          <w:rFonts w:hint="eastAsia"/>
          <w:szCs w:val="21"/>
          <w:lang w:val="en-US" w:eastAsia="zh-CN"/>
        </w:rPr>
        <w:t>B类电源</w:t>
      </w:r>
    </w:p>
    <w:p w14:paraId="5EF7EEA7">
      <w:pPr>
        <w:topLinePunct/>
        <w:spacing w:line="312" w:lineRule="exact"/>
        <w:jc w:val="center"/>
        <w:rPr>
          <w:rFonts w:hint="eastAsia" w:asciiTheme="minorEastAsia" w:hAnsiTheme="minorEastAsia" w:eastAsiaTheme="minorEastAsia" w:cstheme="minorEastAsia"/>
          <w:snapToGrid w:val="0"/>
          <w:szCs w:val="21"/>
          <w:lang w:eastAsia="zh-CN"/>
        </w:rPr>
      </w:pPr>
    </w:p>
    <w:p w14:paraId="050260D6">
      <w:pPr>
        <w:topLinePunct/>
        <w:spacing w:line="312" w:lineRule="exact"/>
        <w:jc w:val="center"/>
        <w:rPr>
          <w:rFonts w:hint="eastAsia" w:asciiTheme="minorEastAsia" w:hAnsiTheme="minorEastAsia" w:eastAsiaTheme="minorEastAsia" w:cstheme="minorEastAsia"/>
          <w:snapToGrid w:val="0"/>
          <w:szCs w:val="21"/>
          <w:lang w:eastAsia="zh-CN"/>
        </w:rPr>
      </w:pPr>
    </w:p>
    <w:p w14:paraId="4978EA3F">
      <w:pPr>
        <w:topLinePunct/>
        <w:spacing w:line="312" w:lineRule="exact"/>
        <w:jc w:val="center"/>
        <w:rPr>
          <w:rFonts w:hint="eastAsia" w:asciiTheme="minorEastAsia" w:hAnsiTheme="minorEastAsia" w:eastAsiaTheme="minorEastAsia" w:cstheme="minorEastAsia"/>
          <w:snapToGrid w:val="0"/>
          <w:szCs w:val="21"/>
          <w:lang w:eastAsia="zh-CN"/>
        </w:rPr>
      </w:pPr>
    </w:p>
    <w:p w14:paraId="6BE40F07">
      <w:pPr>
        <w:topLinePunct/>
        <w:spacing w:line="312" w:lineRule="exact"/>
        <w:jc w:val="center"/>
        <w:rPr>
          <w:rFonts w:hint="eastAsia" w:asciiTheme="minorEastAsia" w:hAnsiTheme="minorEastAsia" w:eastAsiaTheme="minorEastAsia" w:cstheme="minorEastAsia"/>
          <w:snapToGrid w:val="0"/>
          <w:szCs w:val="21"/>
          <w:lang w:eastAsia="zh-CN"/>
        </w:rPr>
      </w:pPr>
    </w:p>
    <w:p w14:paraId="78FFEF67">
      <w:pPr>
        <w:topLinePunct/>
        <w:spacing w:line="312" w:lineRule="exact"/>
        <w:jc w:val="center"/>
        <w:rPr>
          <w:rFonts w:hint="eastAsia" w:asciiTheme="minorEastAsia" w:hAnsiTheme="minorEastAsia" w:eastAsiaTheme="minorEastAsia" w:cstheme="minorEastAsia"/>
          <w:snapToGrid w:val="0"/>
          <w:szCs w:val="21"/>
          <w:lang w:eastAsia="zh-CN"/>
        </w:rPr>
      </w:pPr>
    </w:p>
    <w:p w14:paraId="256ED51D">
      <w:pPr>
        <w:topLinePunct/>
        <w:spacing w:line="312" w:lineRule="exact"/>
        <w:jc w:val="center"/>
        <w:rPr>
          <w:rFonts w:hint="eastAsia" w:asciiTheme="minorEastAsia" w:hAnsiTheme="minorEastAsia" w:eastAsiaTheme="minorEastAsia" w:cstheme="minorEastAsia"/>
          <w:snapToGrid w:val="0"/>
          <w:szCs w:val="21"/>
          <w:lang w:eastAsia="zh-CN"/>
        </w:rPr>
      </w:pPr>
    </w:p>
    <w:p w14:paraId="119462F3">
      <w:pPr>
        <w:topLinePunct/>
        <w:spacing w:line="312" w:lineRule="exact"/>
        <w:jc w:val="center"/>
        <w:rPr>
          <w:rFonts w:hint="eastAsia" w:asciiTheme="minorEastAsia" w:hAnsiTheme="minorEastAsia" w:eastAsiaTheme="minorEastAsia" w:cstheme="minorEastAsia"/>
          <w:snapToGrid w:val="0"/>
          <w:szCs w:val="21"/>
          <w:lang w:eastAsia="zh-CN"/>
        </w:rPr>
      </w:pPr>
    </w:p>
    <w:p w14:paraId="2609C291">
      <w:pPr>
        <w:topLinePunct/>
        <w:spacing w:line="312" w:lineRule="exact"/>
        <w:jc w:val="center"/>
        <w:rPr>
          <w:rFonts w:hint="eastAsia" w:asciiTheme="minorEastAsia" w:hAnsiTheme="minorEastAsia" w:eastAsiaTheme="minorEastAsia" w:cstheme="minorEastAsia"/>
          <w:snapToGrid w:val="0"/>
          <w:szCs w:val="21"/>
          <w:lang w:val="en-US" w:eastAsia="zh-CN"/>
        </w:rPr>
      </w:pPr>
    </w:p>
    <w:p w14:paraId="34628F84">
      <w:pPr>
        <w:jc w:val="center"/>
      </w:pPr>
      <w:r>
        <w:drawing>
          <wp:inline distT="0" distB="0" distL="114300" distR="114300">
            <wp:extent cx="4457700" cy="520065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8"/>
                    <a:stretch>
                      <a:fillRect/>
                    </a:stretch>
                  </pic:blipFill>
                  <pic:spPr>
                    <a:xfrm>
                      <a:off x="0" y="0"/>
                      <a:ext cx="4457700" cy="5200650"/>
                    </a:xfrm>
                    <a:prstGeom prst="rect">
                      <a:avLst/>
                    </a:prstGeom>
                    <a:noFill/>
                    <a:ln>
                      <a:noFill/>
                    </a:ln>
                  </pic:spPr>
                </pic:pic>
              </a:graphicData>
            </a:graphic>
          </wp:inline>
        </w:drawing>
      </w:r>
    </w:p>
    <w:p w14:paraId="2EBD18CB">
      <w:pPr>
        <w:topLinePunct/>
        <w:spacing w:line="312" w:lineRule="exact"/>
        <w:jc w:val="center"/>
        <w:rPr>
          <w:rFonts w:hint="default"/>
          <w:snapToGrid w:val="0"/>
          <w:szCs w:val="21"/>
          <w:lang w:val="en-US" w:eastAsia="zh-CN"/>
        </w:rPr>
      </w:pPr>
      <w:r>
        <w:rPr>
          <w:rFonts w:hint="eastAsia"/>
          <w:snapToGrid w:val="0"/>
          <w:szCs w:val="21"/>
          <w:lang w:eastAsia="zh-CN"/>
        </w:rPr>
        <w:t>PMF710：</w:t>
      </w:r>
      <w:r>
        <w:rPr>
          <w:rFonts w:hint="eastAsia" w:asciiTheme="minorEastAsia" w:hAnsiTheme="minorEastAsia" w:eastAsiaTheme="minorEastAsia" w:cstheme="minorEastAsia"/>
          <w:snapToGrid w:val="0"/>
          <w:szCs w:val="21"/>
          <w:lang w:eastAsia="zh-CN"/>
        </w:rPr>
        <w:t>5-</w:t>
      </w:r>
      <w:r>
        <w:rPr>
          <w:rFonts w:hint="eastAsia" w:asciiTheme="minorEastAsia" w:hAnsiTheme="minorEastAsia" w:eastAsiaTheme="minorEastAsia" w:cstheme="minorEastAsia"/>
          <w:snapToGrid w:val="0"/>
          <w:szCs w:val="21"/>
          <w:lang w:val="en-US" w:eastAsia="zh-CN"/>
        </w:rPr>
        <w:t>6</w:t>
      </w:r>
      <w:r>
        <w:rPr>
          <w:rFonts w:hint="eastAsia" w:asciiTheme="minorEastAsia" w:hAnsiTheme="minorEastAsia" w:eastAsiaTheme="minorEastAsia" w:cstheme="minorEastAsia"/>
          <w:snapToGrid w:val="0"/>
          <w:szCs w:val="21"/>
          <w:lang w:eastAsia="zh-CN"/>
        </w:rPr>
        <w:t>电源模块示意图</w:t>
      </w:r>
      <w:r>
        <w:rPr>
          <w:rFonts w:hint="eastAsia"/>
          <w:szCs w:val="21"/>
          <w:lang w:val="en-US" w:eastAsia="zh-CN"/>
        </w:rPr>
        <w:t>C类电源</w:t>
      </w:r>
    </w:p>
    <w:p w14:paraId="5AB6E8AC">
      <w:pPr>
        <w:jc w:val="both"/>
        <w:rPr>
          <w:rFonts w:hint="eastAsia"/>
          <w:sz w:val="18"/>
          <w:szCs w:val="18"/>
        </w:rPr>
      </w:pPr>
    </w:p>
    <w:p w14:paraId="0D198E1C">
      <w:pPr>
        <w:pStyle w:val="60"/>
        <w:numPr>
          <w:ilvl w:val="1"/>
          <w:numId w:val="1"/>
        </w:numPr>
      </w:pPr>
      <w:bookmarkStart w:id="8" w:name="_Toc358552375"/>
      <w:bookmarkStart w:id="9" w:name="_Toc358552337"/>
      <w:bookmarkStart w:id="10" w:name="_Toc363387107"/>
      <w:bookmarkStart w:id="11" w:name="_Toc363243289"/>
      <w:bookmarkStart w:id="12" w:name="_Toc363381650"/>
      <w:r>
        <w:rPr>
          <w:rFonts w:hint="eastAsia"/>
        </w:rPr>
        <w:t>接口设计</w:t>
      </w:r>
    </w:p>
    <w:p w14:paraId="61CF8906">
      <w:pPr>
        <w:numPr>
          <w:ilvl w:val="0"/>
          <w:numId w:val="2"/>
        </w:numPr>
        <w:jc w:val="left"/>
        <w:rPr>
          <w:rFonts w:hint="default" w:ascii="Times New Roman" w:hAnsi="Times New Roman" w:cs="Times New Roman"/>
        </w:rPr>
      </w:pPr>
      <w:r>
        <w:rPr>
          <w:rFonts w:hint="eastAsia" w:cs="Times New Roman"/>
          <w:lang w:eastAsia="zh-CN"/>
        </w:rPr>
        <w:t>PMF633H，PMF660BD/AM</w:t>
      </w:r>
      <w:r>
        <w:rPr>
          <w:rFonts w:hint="default" w:ascii="Times New Roman" w:hAnsi="Times New Roman" w:cs="Times New Roman"/>
        </w:rPr>
        <w:t>：</w:t>
      </w:r>
      <w:r>
        <w:rPr>
          <w:rFonts w:hint="eastAsia"/>
          <w:szCs w:val="21"/>
          <w:lang w:val="en-US" w:eastAsia="zh-CN"/>
        </w:rPr>
        <w:t>A类电源</w:t>
      </w:r>
    </w:p>
    <w:p w14:paraId="096876C9">
      <w:pPr>
        <w:numPr>
          <w:ilvl w:val="0"/>
          <w:numId w:val="0"/>
        </w:numPr>
        <w:jc w:val="center"/>
        <w:rPr>
          <w:sz w:val="18"/>
          <w:szCs w:val="18"/>
        </w:rPr>
      </w:pPr>
      <w:r>
        <w:rPr>
          <w:rFonts w:hint="eastAsia" w:asciiTheme="minorEastAsia" w:hAnsiTheme="minorEastAsia" w:eastAsiaTheme="minorEastAsia" w:cstheme="minorEastAsia"/>
          <w:snapToGrid w:val="0"/>
          <w:szCs w:val="21"/>
          <w:lang w:eastAsia="zh-CN"/>
        </w:rPr>
        <w:t>表5-</w:t>
      </w:r>
      <w:r>
        <w:rPr>
          <w:rFonts w:hint="eastAsia" w:asciiTheme="minorEastAsia" w:hAnsiTheme="minorEastAsia" w:eastAsiaTheme="minorEastAsia" w:cstheme="minorEastAsia"/>
          <w:snapToGrid w:val="0"/>
          <w:szCs w:val="21"/>
          <w:lang w:val="en-US" w:eastAsia="zh-CN"/>
        </w:rPr>
        <w:t>7</w:t>
      </w:r>
      <w:r>
        <w:rPr>
          <w:rFonts w:hint="eastAsia" w:asciiTheme="minorEastAsia" w:hAnsiTheme="minorEastAsia" w:eastAsiaTheme="minorEastAsia" w:cstheme="minorEastAsia"/>
          <w:snapToGrid w:val="0"/>
          <w:szCs w:val="21"/>
          <w:lang w:eastAsia="zh-CN"/>
        </w:rPr>
        <w:t xml:space="preserve"> 电源模块</w:t>
      </w:r>
      <w:r>
        <w:rPr>
          <w:rFonts w:hint="eastAsia"/>
          <w:lang w:val="en-US" w:eastAsia="zh-CN"/>
        </w:rPr>
        <w:t>输入输出</w:t>
      </w:r>
      <w:r>
        <w:rPr>
          <w:rFonts w:hint="eastAsia"/>
        </w:rPr>
        <w:t>定义</w:t>
      </w:r>
      <w:r>
        <w:rPr>
          <w:rFonts w:hint="eastAsia" w:asciiTheme="minorEastAsia" w:hAnsiTheme="minorEastAsia" w:eastAsiaTheme="minorEastAsia" w:cstheme="minorEastAsia"/>
          <w:snapToGrid w:val="0"/>
          <w:szCs w:val="21"/>
          <w:lang w:eastAsia="zh-CN"/>
        </w:rPr>
        <w:t>引脚</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4"/>
        <w:gridCol w:w="1775"/>
        <w:gridCol w:w="1765"/>
      </w:tblGrid>
      <w:tr w14:paraId="57A8A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764" w:type="dxa"/>
            <w:vAlign w:val="center"/>
          </w:tcPr>
          <w:p w14:paraId="1AB36248">
            <w:pPr>
              <w:autoSpaceDE w:val="0"/>
              <w:autoSpaceDN w:val="0"/>
              <w:adjustRightInd w:val="0"/>
              <w:snapToGrid w:val="0"/>
              <w:spacing w:line="360" w:lineRule="auto"/>
              <w:jc w:val="center"/>
              <w:textAlignment w:val="baseline"/>
              <w:outlineLvl w:val="1"/>
              <w:rPr>
                <w:sz w:val="18"/>
                <w:szCs w:val="18"/>
              </w:rPr>
            </w:pPr>
            <w:r>
              <w:rPr>
                <w:sz w:val="18"/>
                <w:szCs w:val="18"/>
              </w:rPr>
              <w:t>引脚号</w:t>
            </w:r>
          </w:p>
        </w:tc>
        <w:tc>
          <w:tcPr>
            <w:tcW w:w="1775" w:type="dxa"/>
            <w:vAlign w:val="center"/>
          </w:tcPr>
          <w:p w14:paraId="7C7E4688">
            <w:pPr>
              <w:autoSpaceDE w:val="0"/>
              <w:autoSpaceDN w:val="0"/>
              <w:adjustRightInd w:val="0"/>
              <w:snapToGrid w:val="0"/>
              <w:spacing w:line="360" w:lineRule="auto"/>
              <w:jc w:val="center"/>
              <w:textAlignment w:val="baseline"/>
              <w:outlineLvl w:val="1"/>
              <w:rPr>
                <w:sz w:val="18"/>
                <w:szCs w:val="18"/>
              </w:rPr>
            </w:pPr>
            <w:r>
              <w:rPr>
                <w:sz w:val="18"/>
                <w:szCs w:val="18"/>
              </w:rPr>
              <w:t>标记</w:t>
            </w:r>
          </w:p>
        </w:tc>
        <w:tc>
          <w:tcPr>
            <w:tcW w:w="1765" w:type="dxa"/>
            <w:vAlign w:val="center"/>
          </w:tcPr>
          <w:p w14:paraId="60954F86">
            <w:pPr>
              <w:autoSpaceDE w:val="0"/>
              <w:autoSpaceDN w:val="0"/>
              <w:adjustRightInd w:val="0"/>
              <w:snapToGrid w:val="0"/>
              <w:spacing w:line="360" w:lineRule="auto"/>
              <w:jc w:val="center"/>
              <w:textAlignment w:val="baseline"/>
              <w:outlineLvl w:val="1"/>
              <w:rPr>
                <w:sz w:val="18"/>
                <w:szCs w:val="18"/>
              </w:rPr>
            </w:pPr>
            <w:r>
              <w:rPr>
                <w:sz w:val="18"/>
                <w:szCs w:val="18"/>
              </w:rPr>
              <w:t>标记说明</w:t>
            </w:r>
          </w:p>
        </w:tc>
      </w:tr>
      <w:tr w14:paraId="09FC1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64" w:type="dxa"/>
            <w:vAlign w:val="center"/>
          </w:tcPr>
          <w:p w14:paraId="5EE6FF0E">
            <w:pPr>
              <w:autoSpaceDE w:val="0"/>
              <w:autoSpaceDN w:val="0"/>
              <w:adjustRightInd w:val="0"/>
              <w:snapToGrid w:val="0"/>
              <w:spacing w:line="360" w:lineRule="auto"/>
              <w:jc w:val="center"/>
              <w:textAlignment w:val="baseline"/>
              <w:outlineLvl w:val="1"/>
              <w:rPr>
                <w:rFonts w:hint="eastAsia" w:eastAsia="宋体"/>
                <w:sz w:val="18"/>
                <w:szCs w:val="18"/>
                <w:lang w:val="en-US" w:eastAsia="zh-CN"/>
              </w:rPr>
            </w:pPr>
            <w:r>
              <w:rPr>
                <w:rFonts w:hint="eastAsia"/>
                <w:sz w:val="18"/>
                <w:szCs w:val="18"/>
                <w:lang w:val="en-US" w:eastAsia="zh-CN"/>
              </w:rPr>
              <w:t>L</w:t>
            </w:r>
          </w:p>
        </w:tc>
        <w:tc>
          <w:tcPr>
            <w:tcW w:w="1775" w:type="dxa"/>
            <w:vAlign w:val="center"/>
          </w:tcPr>
          <w:p w14:paraId="3FBEF06B">
            <w:pPr>
              <w:autoSpaceDE w:val="0"/>
              <w:autoSpaceDN w:val="0"/>
              <w:adjustRightInd w:val="0"/>
              <w:snapToGrid w:val="0"/>
              <w:spacing w:line="360" w:lineRule="auto"/>
              <w:jc w:val="center"/>
              <w:textAlignment w:val="baseline"/>
              <w:outlineLvl w:val="1"/>
              <w:rPr>
                <w:rFonts w:hint="default" w:eastAsia="宋体"/>
                <w:sz w:val="18"/>
                <w:szCs w:val="18"/>
                <w:highlight w:val="yellow"/>
                <w:lang w:val="en-US" w:eastAsia="zh-CN"/>
              </w:rPr>
            </w:pPr>
            <w:r>
              <w:rPr>
                <w:rFonts w:hint="eastAsia"/>
                <w:sz w:val="18"/>
                <w:szCs w:val="18"/>
                <w:highlight w:val="none"/>
                <w:lang w:val="en-US" w:eastAsia="zh-CN"/>
              </w:rPr>
              <w:t>L相</w:t>
            </w:r>
          </w:p>
        </w:tc>
        <w:tc>
          <w:tcPr>
            <w:tcW w:w="1765" w:type="dxa"/>
            <w:vMerge w:val="restart"/>
            <w:vAlign w:val="center"/>
          </w:tcPr>
          <w:p w14:paraId="762D0664">
            <w:pPr>
              <w:autoSpaceDE w:val="0"/>
              <w:autoSpaceDN w:val="0"/>
              <w:adjustRightInd w:val="0"/>
              <w:snapToGrid w:val="0"/>
              <w:spacing w:line="360" w:lineRule="auto"/>
              <w:jc w:val="center"/>
              <w:textAlignment w:val="baseline"/>
              <w:outlineLvl w:val="1"/>
              <w:rPr>
                <w:rFonts w:hint="default" w:eastAsia="宋体"/>
                <w:sz w:val="18"/>
                <w:szCs w:val="18"/>
                <w:highlight w:val="yellow"/>
                <w:lang w:val="en-US" w:eastAsia="zh-CN"/>
              </w:rPr>
            </w:pPr>
            <w:r>
              <w:rPr>
                <w:rFonts w:hint="eastAsia"/>
                <w:sz w:val="18"/>
                <w:szCs w:val="18"/>
                <w:highlight w:val="none"/>
                <w:lang w:val="en-US" w:eastAsia="zh-CN"/>
              </w:rPr>
              <w:t>输入</w:t>
            </w:r>
          </w:p>
        </w:tc>
      </w:tr>
      <w:tr w14:paraId="50DA4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 w:hRule="atLeast"/>
          <w:jc w:val="center"/>
        </w:trPr>
        <w:tc>
          <w:tcPr>
            <w:tcW w:w="1764" w:type="dxa"/>
            <w:vAlign w:val="center"/>
          </w:tcPr>
          <w:p w14:paraId="7605E460">
            <w:pPr>
              <w:autoSpaceDE w:val="0"/>
              <w:autoSpaceDN w:val="0"/>
              <w:adjustRightInd w:val="0"/>
              <w:snapToGrid w:val="0"/>
              <w:spacing w:line="360" w:lineRule="auto"/>
              <w:jc w:val="center"/>
              <w:textAlignment w:val="baseline"/>
              <w:outlineLvl w:val="1"/>
              <w:rPr>
                <w:rFonts w:hint="default" w:eastAsia="宋体"/>
                <w:sz w:val="18"/>
                <w:szCs w:val="18"/>
                <w:lang w:val="en-US" w:eastAsia="zh-CN"/>
              </w:rPr>
            </w:pPr>
            <w:r>
              <w:rPr>
                <w:rFonts w:hint="eastAsia"/>
                <w:sz w:val="18"/>
                <w:szCs w:val="18"/>
                <w:lang w:val="en-US" w:eastAsia="zh-CN"/>
              </w:rPr>
              <w:t>N</w:t>
            </w:r>
          </w:p>
        </w:tc>
        <w:tc>
          <w:tcPr>
            <w:tcW w:w="1775" w:type="dxa"/>
            <w:vAlign w:val="center"/>
          </w:tcPr>
          <w:p w14:paraId="7A4DC623">
            <w:pPr>
              <w:autoSpaceDE w:val="0"/>
              <w:autoSpaceDN w:val="0"/>
              <w:adjustRightInd w:val="0"/>
              <w:snapToGrid w:val="0"/>
              <w:spacing w:line="360" w:lineRule="auto"/>
              <w:jc w:val="center"/>
              <w:textAlignment w:val="baseline"/>
              <w:outlineLvl w:val="1"/>
              <w:rPr>
                <w:sz w:val="18"/>
                <w:szCs w:val="18"/>
              </w:rPr>
            </w:pPr>
            <w:r>
              <w:rPr>
                <w:rFonts w:hint="eastAsia"/>
                <w:sz w:val="18"/>
                <w:szCs w:val="18"/>
                <w:highlight w:val="none"/>
                <w:lang w:val="en-US" w:eastAsia="zh-CN"/>
              </w:rPr>
              <w:t>N相</w:t>
            </w:r>
          </w:p>
        </w:tc>
        <w:tc>
          <w:tcPr>
            <w:tcW w:w="1765" w:type="dxa"/>
            <w:vMerge w:val="continue"/>
            <w:tcBorders>
              <w:bottom w:val="single" w:color="auto" w:sz="4" w:space="0"/>
            </w:tcBorders>
            <w:vAlign w:val="center"/>
          </w:tcPr>
          <w:p w14:paraId="2206CF1E">
            <w:pPr>
              <w:autoSpaceDE w:val="0"/>
              <w:autoSpaceDN w:val="0"/>
              <w:adjustRightInd w:val="0"/>
              <w:snapToGrid w:val="0"/>
              <w:spacing w:line="360" w:lineRule="auto"/>
              <w:jc w:val="center"/>
              <w:textAlignment w:val="baseline"/>
              <w:outlineLvl w:val="1"/>
              <w:rPr>
                <w:sz w:val="18"/>
                <w:szCs w:val="18"/>
              </w:rPr>
            </w:pPr>
          </w:p>
        </w:tc>
      </w:tr>
      <w:tr w14:paraId="2962C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764" w:type="dxa"/>
            <w:vAlign w:val="center"/>
          </w:tcPr>
          <w:p w14:paraId="0943A50B">
            <w:pPr>
              <w:autoSpaceDE w:val="0"/>
              <w:autoSpaceDN w:val="0"/>
              <w:adjustRightInd w:val="0"/>
              <w:snapToGrid w:val="0"/>
              <w:spacing w:line="360" w:lineRule="auto"/>
              <w:jc w:val="center"/>
              <w:textAlignment w:val="baseline"/>
              <w:outlineLvl w:val="1"/>
              <w:rPr>
                <w:rFonts w:hint="default" w:eastAsia="宋体"/>
                <w:sz w:val="18"/>
                <w:szCs w:val="18"/>
                <w:lang w:val="en-US" w:eastAsia="zh-CN"/>
              </w:rPr>
            </w:pPr>
            <w:r>
              <w:rPr>
                <w:rFonts w:hint="eastAsia"/>
                <w:sz w:val="18"/>
                <w:szCs w:val="18"/>
                <w:lang w:val="en-US" w:eastAsia="zh-CN"/>
              </w:rPr>
              <w:t>FG</w:t>
            </w:r>
          </w:p>
        </w:tc>
        <w:tc>
          <w:tcPr>
            <w:tcW w:w="1775" w:type="dxa"/>
            <w:tcBorders>
              <w:right w:val="single" w:color="auto" w:sz="4" w:space="0"/>
            </w:tcBorders>
            <w:vAlign w:val="center"/>
          </w:tcPr>
          <w:p w14:paraId="2D034BBE">
            <w:pPr>
              <w:autoSpaceDE w:val="0"/>
              <w:autoSpaceDN w:val="0"/>
              <w:adjustRightInd w:val="0"/>
              <w:snapToGrid w:val="0"/>
              <w:spacing w:line="360" w:lineRule="auto"/>
              <w:jc w:val="center"/>
              <w:textAlignment w:val="baseline"/>
              <w:outlineLvl w:val="1"/>
              <w:rPr>
                <w:rFonts w:hint="eastAsia" w:eastAsia="宋体"/>
                <w:sz w:val="18"/>
                <w:szCs w:val="18"/>
                <w:highlight w:val="yellow"/>
                <w:lang w:val="en-US" w:eastAsia="zh-CN"/>
              </w:rPr>
            </w:pPr>
            <w:r>
              <w:rPr>
                <w:rFonts w:hint="eastAsia"/>
                <w:sz w:val="18"/>
                <w:szCs w:val="18"/>
                <w:highlight w:val="none"/>
                <w:lang w:val="en-US" w:eastAsia="zh-CN"/>
              </w:rPr>
              <w:t>地</w:t>
            </w:r>
          </w:p>
        </w:tc>
        <w:tc>
          <w:tcPr>
            <w:tcW w:w="1765" w:type="dxa"/>
            <w:tcBorders>
              <w:top w:val="single" w:color="auto" w:sz="4" w:space="0"/>
              <w:left w:val="single" w:color="auto" w:sz="4" w:space="0"/>
              <w:right w:val="single" w:color="auto" w:sz="4" w:space="0"/>
            </w:tcBorders>
            <w:vAlign w:val="center"/>
          </w:tcPr>
          <w:p w14:paraId="05FDE306">
            <w:pPr>
              <w:autoSpaceDE w:val="0"/>
              <w:autoSpaceDN w:val="0"/>
              <w:adjustRightInd w:val="0"/>
              <w:snapToGrid w:val="0"/>
              <w:spacing w:line="360" w:lineRule="auto"/>
              <w:jc w:val="center"/>
              <w:textAlignment w:val="baseline"/>
              <w:outlineLvl w:val="1"/>
              <w:rPr>
                <w:sz w:val="18"/>
                <w:szCs w:val="18"/>
                <w:highlight w:val="yellow"/>
              </w:rPr>
            </w:pPr>
          </w:p>
        </w:tc>
      </w:tr>
      <w:tr w14:paraId="172E6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764" w:type="dxa"/>
            <w:vAlign w:val="center"/>
          </w:tcPr>
          <w:p w14:paraId="0AD5E5DC">
            <w:pPr>
              <w:autoSpaceDE w:val="0"/>
              <w:autoSpaceDN w:val="0"/>
              <w:adjustRightInd w:val="0"/>
              <w:snapToGrid w:val="0"/>
              <w:spacing w:line="360" w:lineRule="auto"/>
              <w:jc w:val="center"/>
              <w:textAlignment w:val="baseline"/>
              <w:outlineLvl w:val="1"/>
              <w:rPr>
                <w:rFonts w:hint="default" w:eastAsia="宋体"/>
                <w:sz w:val="18"/>
                <w:szCs w:val="18"/>
                <w:lang w:val="en-US" w:eastAsia="zh-CN"/>
              </w:rPr>
            </w:pPr>
            <w:r>
              <w:rPr>
                <w:rFonts w:hint="eastAsia"/>
                <w:sz w:val="18"/>
                <w:szCs w:val="18"/>
                <w:lang w:val="en-US" w:eastAsia="zh-CN"/>
              </w:rPr>
              <w:t>G1</w:t>
            </w:r>
          </w:p>
        </w:tc>
        <w:tc>
          <w:tcPr>
            <w:tcW w:w="1775" w:type="dxa"/>
            <w:tcBorders>
              <w:right w:val="single" w:color="auto" w:sz="4" w:space="0"/>
            </w:tcBorders>
            <w:vAlign w:val="center"/>
          </w:tcPr>
          <w:p w14:paraId="117155D2">
            <w:pPr>
              <w:autoSpaceDE w:val="0"/>
              <w:autoSpaceDN w:val="0"/>
              <w:adjustRightInd w:val="0"/>
              <w:snapToGrid w:val="0"/>
              <w:spacing w:line="360" w:lineRule="auto"/>
              <w:jc w:val="center"/>
              <w:textAlignment w:val="baseline"/>
              <w:outlineLvl w:val="1"/>
              <w:rPr>
                <w:sz w:val="18"/>
                <w:szCs w:val="18"/>
                <w:highlight w:val="yellow"/>
              </w:rPr>
            </w:pPr>
            <w:r>
              <w:rPr>
                <w:sz w:val="18"/>
                <w:szCs w:val="18"/>
              </w:rPr>
              <w:t>工作电源-</w:t>
            </w:r>
          </w:p>
        </w:tc>
        <w:tc>
          <w:tcPr>
            <w:tcW w:w="1765" w:type="dxa"/>
            <w:vMerge w:val="restart"/>
            <w:tcBorders>
              <w:left w:val="single" w:color="auto" w:sz="4" w:space="0"/>
              <w:right w:val="single" w:color="auto" w:sz="4" w:space="0"/>
            </w:tcBorders>
            <w:vAlign w:val="center"/>
          </w:tcPr>
          <w:p w14:paraId="7BDCA5CA">
            <w:pPr>
              <w:autoSpaceDE w:val="0"/>
              <w:autoSpaceDN w:val="0"/>
              <w:adjustRightInd w:val="0"/>
              <w:snapToGrid w:val="0"/>
              <w:spacing w:line="360" w:lineRule="auto"/>
              <w:jc w:val="center"/>
              <w:textAlignment w:val="baseline"/>
              <w:outlineLvl w:val="1"/>
              <w:rPr>
                <w:rFonts w:hint="default" w:eastAsia="宋体"/>
                <w:sz w:val="18"/>
                <w:szCs w:val="18"/>
                <w:highlight w:val="yellow"/>
                <w:lang w:val="en-US" w:eastAsia="zh-CN"/>
              </w:rPr>
            </w:pPr>
            <w:r>
              <w:rPr>
                <w:rFonts w:hint="eastAsia"/>
                <w:sz w:val="18"/>
                <w:szCs w:val="18"/>
                <w:highlight w:val="none"/>
                <w:lang w:val="en-US" w:eastAsia="zh-CN"/>
              </w:rPr>
              <w:t>5V输出</w:t>
            </w:r>
          </w:p>
        </w:tc>
      </w:tr>
      <w:tr w14:paraId="0362C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4B149C5D">
            <w:pPr>
              <w:autoSpaceDE w:val="0"/>
              <w:autoSpaceDN w:val="0"/>
              <w:adjustRightInd w:val="0"/>
              <w:snapToGrid w:val="0"/>
              <w:spacing w:line="360" w:lineRule="auto"/>
              <w:jc w:val="center"/>
              <w:textAlignment w:val="baseline"/>
              <w:outlineLvl w:val="1"/>
              <w:rPr>
                <w:rFonts w:hint="default" w:eastAsia="宋体"/>
                <w:sz w:val="18"/>
                <w:szCs w:val="18"/>
                <w:lang w:val="en-US" w:eastAsia="zh-CN"/>
              </w:rPr>
            </w:pPr>
            <w:r>
              <w:rPr>
                <w:rFonts w:hint="eastAsia"/>
                <w:sz w:val="18"/>
                <w:szCs w:val="18"/>
                <w:lang w:val="en-US" w:eastAsia="zh-CN"/>
              </w:rPr>
              <w:t>V1</w:t>
            </w:r>
          </w:p>
        </w:tc>
        <w:tc>
          <w:tcPr>
            <w:tcW w:w="1775" w:type="dxa"/>
            <w:tcBorders>
              <w:right w:val="single" w:color="auto" w:sz="4" w:space="0"/>
            </w:tcBorders>
            <w:vAlign w:val="center"/>
          </w:tcPr>
          <w:p w14:paraId="0EB78B07">
            <w:pPr>
              <w:autoSpaceDE w:val="0"/>
              <w:autoSpaceDN w:val="0"/>
              <w:adjustRightInd w:val="0"/>
              <w:snapToGrid w:val="0"/>
              <w:spacing w:line="360" w:lineRule="auto"/>
              <w:jc w:val="center"/>
              <w:textAlignment w:val="baseline"/>
              <w:outlineLvl w:val="1"/>
              <w:rPr>
                <w:sz w:val="18"/>
                <w:szCs w:val="18"/>
                <w:highlight w:val="yellow"/>
              </w:rPr>
            </w:pPr>
            <w:r>
              <w:rPr>
                <w:sz w:val="18"/>
                <w:szCs w:val="18"/>
              </w:rPr>
              <w:t>工作电源+</w:t>
            </w:r>
          </w:p>
        </w:tc>
        <w:tc>
          <w:tcPr>
            <w:tcW w:w="1765" w:type="dxa"/>
            <w:vMerge w:val="continue"/>
            <w:tcBorders>
              <w:left w:val="single" w:color="auto" w:sz="4" w:space="0"/>
              <w:right w:val="single" w:color="auto" w:sz="4" w:space="0"/>
            </w:tcBorders>
            <w:vAlign w:val="center"/>
          </w:tcPr>
          <w:p w14:paraId="0FFE2FD7">
            <w:pPr>
              <w:autoSpaceDE w:val="0"/>
              <w:autoSpaceDN w:val="0"/>
              <w:adjustRightInd w:val="0"/>
              <w:snapToGrid w:val="0"/>
              <w:spacing w:line="360" w:lineRule="auto"/>
              <w:jc w:val="center"/>
              <w:textAlignment w:val="baseline"/>
              <w:outlineLvl w:val="1"/>
              <w:rPr>
                <w:sz w:val="18"/>
                <w:szCs w:val="18"/>
                <w:highlight w:val="yellow"/>
              </w:rPr>
            </w:pPr>
          </w:p>
        </w:tc>
      </w:tr>
      <w:tr w14:paraId="456E0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39815406">
            <w:pPr>
              <w:autoSpaceDE w:val="0"/>
              <w:autoSpaceDN w:val="0"/>
              <w:adjustRightInd w:val="0"/>
              <w:snapToGrid w:val="0"/>
              <w:spacing w:line="360" w:lineRule="auto"/>
              <w:jc w:val="center"/>
              <w:textAlignment w:val="baseline"/>
              <w:outlineLvl w:val="1"/>
              <w:rPr>
                <w:rFonts w:hint="default" w:eastAsia="宋体"/>
                <w:sz w:val="18"/>
                <w:szCs w:val="18"/>
                <w:lang w:val="en-US" w:eastAsia="zh-CN"/>
              </w:rPr>
            </w:pPr>
            <w:r>
              <w:rPr>
                <w:rFonts w:hint="eastAsia"/>
                <w:sz w:val="18"/>
                <w:szCs w:val="18"/>
                <w:lang w:val="en-US" w:eastAsia="zh-CN"/>
              </w:rPr>
              <w:t>G2</w:t>
            </w:r>
          </w:p>
        </w:tc>
        <w:tc>
          <w:tcPr>
            <w:tcW w:w="1775" w:type="dxa"/>
            <w:tcBorders>
              <w:right w:val="single" w:color="auto" w:sz="4" w:space="0"/>
            </w:tcBorders>
            <w:vAlign w:val="center"/>
          </w:tcPr>
          <w:p w14:paraId="334788AA">
            <w:pPr>
              <w:autoSpaceDE w:val="0"/>
              <w:autoSpaceDN w:val="0"/>
              <w:adjustRightInd w:val="0"/>
              <w:snapToGrid w:val="0"/>
              <w:spacing w:line="360" w:lineRule="auto"/>
              <w:jc w:val="center"/>
              <w:textAlignment w:val="baseline"/>
              <w:outlineLvl w:val="1"/>
              <w:rPr>
                <w:sz w:val="18"/>
                <w:szCs w:val="18"/>
                <w:highlight w:val="yellow"/>
              </w:rPr>
            </w:pPr>
            <w:r>
              <w:rPr>
                <w:sz w:val="18"/>
                <w:szCs w:val="18"/>
              </w:rPr>
              <w:t>工作电源-</w:t>
            </w:r>
          </w:p>
        </w:tc>
        <w:tc>
          <w:tcPr>
            <w:tcW w:w="1765" w:type="dxa"/>
            <w:vMerge w:val="restart"/>
            <w:tcBorders>
              <w:left w:val="single" w:color="auto" w:sz="4" w:space="0"/>
              <w:right w:val="single" w:color="auto" w:sz="4" w:space="0"/>
            </w:tcBorders>
            <w:vAlign w:val="center"/>
          </w:tcPr>
          <w:p w14:paraId="396840C8">
            <w:pPr>
              <w:autoSpaceDE w:val="0"/>
              <w:autoSpaceDN w:val="0"/>
              <w:adjustRightInd w:val="0"/>
              <w:snapToGrid w:val="0"/>
              <w:spacing w:line="360" w:lineRule="auto"/>
              <w:jc w:val="center"/>
              <w:textAlignment w:val="baseline"/>
              <w:outlineLvl w:val="1"/>
              <w:rPr>
                <w:sz w:val="18"/>
                <w:szCs w:val="18"/>
                <w:highlight w:val="yellow"/>
              </w:rPr>
            </w:pPr>
            <w:r>
              <w:rPr>
                <w:rFonts w:hint="eastAsia"/>
                <w:sz w:val="18"/>
                <w:szCs w:val="18"/>
                <w:highlight w:val="none"/>
                <w:lang w:val="en-US" w:eastAsia="zh-CN"/>
              </w:rPr>
              <w:t>5V输出</w:t>
            </w:r>
          </w:p>
        </w:tc>
      </w:tr>
      <w:tr w14:paraId="5A0B8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00596BDA">
            <w:pPr>
              <w:autoSpaceDE w:val="0"/>
              <w:autoSpaceDN w:val="0"/>
              <w:adjustRightInd w:val="0"/>
              <w:snapToGrid w:val="0"/>
              <w:spacing w:line="360" w:lineRule="auto"/>
              <w:jc w:val="center"/>
              <w:textAlignment w:val="baseline"/>
              <w:outlineLvl w:val="1"/>
              <w:rPr>
                <w:rFonts w:hint="default" w:eastAsia="宋体"/>
                <w:sz w:val="18"/>
                <w:szCs w:val="18"/>
                <w:lang w:val="en-US" w:eastAsia="zh-CN"/>
              </w:rPr>
            </w:pPr>
            <w:r>
              <w:rPr>
                <w:rFonts w:hint="eastAsia"/>
                <w:sz w:val="18"/>
                <w:szCs w:val="18"/>
                <w:lang w:val="en-US" w:eastAsia="zh-CN"/>
              </w:rPr>
              <w:t>V2</w:t>
            </w:r>
          </w:p>
        </w:tc>
        <w:tc>
          <w:tcPr>
            <w:tcW w:w="1775" w:type="dxa"/>
            <w:tcBorders>
              <w:right w:val="single" w:color="auto" w:sz="4" w:space="0"/>
            </w:tcBorders>
            <w:vAlign w:val="center"/>
          </w:tcPr>
          <w:p w14:paraId="77C84E05">
            <w:pPr>
              <w:autoSpaceDE w:val="0"/>
              <w:autoSpaceDN w:val="0"/>
              <w:adjustRightInd w:val="0"/>
              <w:snapToGrid w:val="0"/>
              <w:spacing w:line="360" w:lineRule="auto"/>
              <w:jc w:val="center"/>
              <w:textAlignment w:val="baseline"/>
              <w:outlineLvl w:val="1"/>
              <w:rPr>
                <w:sz w:val="18"/>
                <w:szCs w:val="18"/>
                <w:highlight w:val="yellow"/>
              </w:rPr>
            </w:pPr>
            <w:r>
              <w:rPr>
                <w:sz w:val="18"/>
                <w:szCs w:val="18"/>
              </w:rPr>
              <w:t>工作电源+</w:t>
            </w:r>
          </w:p>
        </w:tc>
        <w:tc>
          <w:tcPr>
            <w:tcW w:w="1765" w:type="dxa"/>
            <w:vMerge w:val="continue"/>
            <w:tcBorders>
              <w:left w:val="single" w:color="auto" w:sz="4" w:space="0"/>
              <w:right w:val="single" w:color="auto" w:sz="4" w:space="0"/>
            </w:tcBorders>
            <w:vAlign w:val="center"/>
          </w:tcPr>
          <w:p w14:paraId="2D896E5F">
            <w:pPr>
              <w:autoSpaceDE w:val="0"/>
              <w:autoSpaceDN w:val="0"/>
              <w:adjustRightInd w:val="0"/>
              <w:snapToGrid w:val="0"/>
              <w:spacing w:line="360" w:lineRule="auto"/>
              <w:jc w:val="center"/>
              <w:textAlignment w:val="baseline"/>
              <w:outlineLvl w:val="1"/>
              <w:rPr>
                <w:sz w:val="18"/>
                <w:szCs w:val="18"/>
                <w:highlight w:val="yellow"/>
              </w:rPr>
            </w:pPr>
          </w:p>
        </w:tc>
      </w:tr>
      <w:tr w14:paraId="1DFBE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2DB3063F">
            <w:pPr>
              <w:autoSpaceDE w:val="0"/>
              <w:autoSpaceDN w:val="0"/>
              <w:adjustRightInd w:val="0"/>
              <w:snapToGrid w:val="0"/>
              <w:spacing w:line="360" w:lineRule="auto"/>
              <w:jc w:val="center"/>
              <w:textAlignment w:val="baseline"/>
              <w:outlineLvl w:val="1"/>
              <w:rPr>
                <w:rFonts w:hint="default" w:eastAsia="宋体"/>
                <w:sz w:val="18"/>
                <w:szCs w:val="18"/>
                <w:lang w:val="en-US" w:eastAsia="zh-CN"/>
              </w:rPr>
            </w:pPr>
            <w:r>
              <w:rPr>
                <w:rFonts w:hint="eastAsia"/>
                <w:sz w:val="18"/>
                <w:szCs w:val="18"/>
                <w:lang w:val="en-US" w:eastAsia="zh-CN"/>
              </w:rPr>
              <w:t>G3</w:t>
            </w:r>
          </w:p>
        </w:tc>
        <w:tc>
          <w:tcPr>
            <w:tcW w:w="1775" w:type="dxa"/>
            <w:tcBorders>
              <w:right w:val="single" w:color="auto" w:sz="4" w:space="0"/>
            </w:tcBorders>
            <w:vAlign w:val="center"/>
          </w:tcPr>
          <w:p w14:paraId="633DB01C">
            <w:pPr>
              <w:autoSpaceDE w:val="0"/>
              <w:autoSpaceDN w:val="0"/>
              <w:adjustRightInd w:val="0"/>
              <w:snapToGrid w:val="0"/>
              <w:spacing w:line="360" w:lineRule="auto"/>
              <w:jc w:val="center"/>
              <w:textAlignment w:val="baseline"/>
              <w:outlineLvl w:val="1"/>
              <w:rPr>
                <w:sz w:val="18"/>
                <w:szCs w:val="18"/>
                <w:highlight w:val="yellow"/>
              </w:rPr>
            </w:pPr>
            <w:r>
              <w:rPr>
                <w:sz w:val="18"/>
                <w:szCs w:val="18"/>
              </w:rPr>
              <w:t>工作电源-</w:t>
            </w:r>
          </w:p>
        </w:tc>
        <w:tc>
          <w:tcPr>
            <w:tcW w:w="1765" w:type="dxa"/>
            <w:vMerge w:val="restart"/>
            <w:tcBorders>
              <w:left w:val="single" w:color="auto" w:sz="4" w:space="0"/>
              <w:right w:val="single" w:color="auto" w:sz="4" w:space="0"/>
            </w:tcBorders>
            <w:vAlign w:val="center"/>
          </w:tcPr>
          <w:p w14:paraId="570260D2">
            <w:pPr>
              <w:autoSpaceDE w:val="0"/>
              <w:autoSpaceDN w:val="0"/>
              <w:adjustRightInd w:val="0"/>
              <w:snapToGrid w:val="0"/>
              <w:spacing w:line="360" w:lineRule="auto"/>
              <w:jc w:val="center"/>
              <w:textAlignment w:val="baseline"/>
              <w:outlineLvl w:val="1"/>
              <w:rPr>
                <w:sz w:val="18"/>
                <w:szCs w:val="18"/>
                <w:highlight w:val="yellow"/>
              </w:rPr>
            </w:pPr>
            <w:r>
              <w:rPr>
                <w:rFonts w:hint="eastAsia"/>
                <w:sz w:val="18"/>
                <w:szCs w:val="18"/>
                <w:highlight w:val="none"/>
                <w:lang w:val="en-US" w:eastAsia="zh-CN"/>
              </w:rPr>
              <w:t>24V输出</w:t>
            </w:r>
          </w:p>
        </w:tc>
      </w:tr>
      <w:tr w14:paraId="7A10F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4702E002">
            <w:pPr>
              <w:autoSpaceDE w:val="0"/>
              <w:autoSpaceDN w:val="0"/>
              <w:adjustRightInd w:val="0"/>
              <w:snapToGrid w:val="0"/>
              <w:spacing w:line="360" w:lineRule="auto"/>
              <w:jc w:val="center"/>
              <w:textAlignment w:val="baseline"/>
              <w:outlineLvl w:val="1"/>
              <w:rPr>
                <w:rFonts w:hint="default" w:eastAsia="宋体"/>
                <w:sz w:val="18"/>
                <w:szCs w:val="18"/>
                <w:lang w:val="en-US" w:eastAsia="zh-CN"/>
              </w:rPr>
            </w:pPr>
            <w:r>
              <w:rPr>
                <w:rFonts w:hint="eastAsia"/>
                <w:sz w:val="18"/>
                <w:szCs w:val="18"/>
                <w:lang w:val="en-US" w:eastAsia="zh-CN"/>
              </w:rPr>
              <w:t>V3</w:t>
            </w:r>
          </w:p>
        </w:tc>
        <w:tc>
          <w:tcPr>
            <w:tcW w:w="1775" w:type="dxa"/>
            <w:tcBorders>
              <w:right w:val="single" w:color="auto" w:sz="4" w:space="0"/>
            </w:tcBorders>
            <w:vAlign w:val="center"/>
          </w:tcPr>
          <w:p w14:paraId="561AA5D9">
            <w:pPr>
              <w:autoSpaceDE w:val="0"/>
              <w:autoSpaceDN w:val="0"/>
              <w:adjustRightInd w:val="0"/>
              <w:snapToGrid w:val="0"/>
              <w:spacing w:line="360" w:lineRule="auto"/>
              <w:jc w:val="center"/>
              <w:textAlignment w:val="baseline"/>
              <w:outlineLvl w:val="1"/>
              <w:rPr>
                <w:sz w:val="18"/>
                <w:szCs w:val="18"/>
                <w:highlight w:val="yellow"/>
              </w:rPr>
            </w:pPr>
            <w:r>
              <w:rPr>
                <w:sz w:val="18"/>
                <w:szCs w:val="18"/>
              </w:rPr>
              <w:t>工作电源+</w:t>
            </w:r>
          </w:p>
        </w:tc>
        <w:tc>
          <w:tcPr>
            <w:tcW w:w="1765" w:type="dxa"/>
            <w:vMerge w:val="continue"/>
            <w:tcBorders>
              <w:left w:val="single" w:color="auto" w:sz="4" w:space="0"/>
              <w:bottom w:val="single" w:color="auto" w:sz="4" w:space="0"/>
              <w:right w:val="single" w:color="auto" w:sz="4" w:space="0"/>
            </w:tcBorders>
            <w:vAlign w:val="center"/>
          </w:tcPr>
          <w:p w14:paraId="36D448E7">
            <w:pPr>
              <w:autoSpaceDE w:val="0"/>
              <w:autoSpaceDN w:val="0"/>
              <w:adjustRightInd w:val="0"/>
              <w:snapToGrid w:val="0"/>
              <w:spacing w:line="360" w:lineRule="auto"/>
              <w:jc w:val="center"/>
              <w:textAlignment w:val="baseline"/>
              <w:outlineLvl w:val="1"/>
              <w:rPr>
                <w:sz w:val="18"/>
                <w:szCs w:val="18"/>
                <w:highlight w:val="yellow"/>
              </w:rPr>
            </w:pPr>
          </w:p>
        </w:tc>
      </w:tr>
    </w:tbl>
    <w:p w14:paraId="7F97D46D">
      <w:pPr>
        <w:pStyle w:val="60"/>
      </w:pPr>
    </w:p>
    <w:p w14:paraId="593B0A25">
      <w:pPr>
        <w:pStyle w:val="60"/>
      </w:pPr>
    </w:p>
    <w:p w14:paraId="288F4AE2">
      <w:pPr>
        <w:topLinePunct/>
        <w:spacing w:line="312" w:lineRule="exact"/>
        <w:jc w:val="left"/>
        <w:rPr>
          <w:rFonts w:hint="default" w:ascii="Times New Roman" w:hAnsi="Times New Roman" w:cs="Times New Roman"/>
          <w:szCs w:val="21"/>
          <w:lang w:val="en-US" w:eastAsia="zh-CN"/>
        </w:rPr>
      </w:pPr>
      <w:r>
        <w:rPr>
          <w:rFonts w:hint="eastAsia"/>
          <w:snapToGrid w:val="0"/>
          <w:szCs w:val="21"/>
          <w:lang w:eastAsia="zh-CN"/>
        </w:rPr>
        <w:t>（</w:t>
      </w:r>
      <w:r>
        <w:rPr>
          <w:rFonts w:hint="eastAsia"/>
          <w:snapToGrid w:val="0"/>
          <w:szCs w:val="21"/>
          <w:lang w:val="en-US" w:eastAsia="zh-CN"/>
        </w:rPr>
        <w:t>2</w:t>
      </w:r>
      <w:r>
        <w:rPr>
          <w:rFonts w:hint="eastAsia"/>
          <w:snapToGrid w:val="0"/>
          <w:szCs w:val="21"/>
          <w:lang w:eastAsia="zh-CN"/>
        </w:rPr>
        <w:t>）</w:t>
      </w:r>
      <w:r>
        <w:rPr>
          <w:rFonts w:hint="default" w:ascii="Times New Roman" w:hAnsi="Times New Roman" w:cs="Times New Roman"/>
          <w:snapToGrid w:val="0"/>
          <w:szCs w:val="21"/>
          <w:lang w:eastAsia="zh-CN"/>
        </w:rPr>
        <w:t>PMF720，PMF702，PMF760，PMF770：</w:t>
      </w:r>
      <w:r>
        <w:rPr>
          <w:rFonts w:hint="eastAsia"/>
          <w:szCs w:val="21"/>
          <w:lang w:val="en-US" w:eastAsia="zh-CN"/>
        </w:rPr>
        <w:t>B类电源</w:t>
      </w:r>
    </w:p>
    <w:p w14:paraId="06A2282B">
      <w:pPr>
        <w:jc w:val="center"/>
        <w:rPr>
          <w:rFonts w:hint="eastAsia" w:asciiTheme="minorEastAsia" w:hAnsiTheme="minorEastAsia" w:eastAsiaTheme="minorEastAsia" w:cstheme="minorEastAsia"/>
          <w:snapToGrid w:val="0"/>
          <w:szCs w:val="21"/>
          <w:lang w:eastAsia="zh-CN"/>
        </w:rPr>
      </w:pPr>
      <w:r>
        <w:rPr>
          <w:rFonts w:hint="eastAsia" w:asciiTheme="minorEastAsia" w:hAnsiTheme="minorEastAsia" w:eastAsiaTheme="minorEastAsia" w:cstheme="minorEastAsia"/>
          <w:snapToGrid w:val="0"/>
          <w:szCs w:val="21"/>
          <w:lang w:eastAsia="zh-CN"/>
        </w:rPr>
        <w:t>表5-</w:t>
      </w:r>
      <w:r>
        <w:rPr>
          <w:rFonts w:hint="eastAsia" w:asciiTheme="minorEastAsia" w:hAnsiTheme="minorEastAsia" w:eastAsiaTheme="minorEastAsia" w:cstheme="minorEastAsia"/>
          <w:snapToGrid w:val="0"/>
          <w:szCs w:val="21"/>
          <w:lang w:val="en-US" w:eastAsia="zh-CN"/>
        </w:rPr>
        <w:t>8</w:t>
      </w:r>
      <w:r>
        <w:rPr>
          <w:rFonts w:hint="eastAsia" w:asciiTheme="minorEastAsia" w:hAnsiTheme="minorEastAsia" w:eastAsiaTheme="minorEastAsia" w:cstheme="minorEastAsia"/>
          <w:snapToGrid w:val="0"/>
          <w:szCs w:val="21"/>
          <w:lang w:eastAsia="zh-CN"/>
        </w:rPr>
        <w:t xml:space="preserve"> 电源模块</w:t>
      </w:r>
      <w:r>
        <w:rPr>
          <w:rFonts w:hint="eastAsia"/>
          <w:lang w:val="en-US" w:eastAsia="zh-CN"/>
        </w:rPr>
        <w:t>输入输出</w:t>
      </w:r>
      <w:r>
        <w:rPr>
          <w:rFonts w:hint="eastAsia"/>
        </w:rPr>
        <w:t>定义</w:t>
      </w:r>
      <w:r>
        <w:rPr>
          <w:rFonts w:hint="eastAsia" w:asciiTheme="minorEastAsia" w:hAnsiTheme="minorEastAsia" w:eastAsiaTheme="minorEastAsia" w:cstheme="minorEastAsia"/>
          <w:snapToGrid w:val="0"/>
          <w:szCs w:val="21"/>
          <w:lang w:eastAsia="zh-CN"/>
        </w:rPr>
        <w:t>引脚</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4"/>
        <w:gridCol w:w="1775"/>
        <w:gridCol w:w="1765"/>
      </w:tblGrid>
      <w:tr w14:paraId="060C8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764" w:type="dxa"/>
            <w:vAlign w:val="center"/>
          </w:tcPr>
          <w:p w14:paraId="683B5524">
            <w:pPr>
              <w:autoSpaceDE w:val="0"/>
              <w:autoSpaceDN w:val="0"/>
              <w:adjustRightInd w:val="0"/>
              <w:snapToGrid w:val="0"/>
              <w:spacing w:line="360" w:lineRule="auto"/>
              <w:jc w:val="center"/>
              <w:textAlignment w:val="baseline"/>
              <w:outlineLvl w:val="1"/>
              <w:rPr>
                <w:sz w:val="18"/>
                <w:szCs w:val="18"/>
              </w:rPr>
            </w:pPr>
            <w:r>
              <w:rPr>
                <w:sz w:val="18"/>
                <w:szCs w:val="18"/>
              </w:rPr>
              <w:t>引脚号</w:t>
            </w:r>
          </w:p>
        </w:tc>
        <w:tc>
          <w:tcPr>
            <w:tcW w:w="1775" w:type="dxa"/>
            <w:vAlign w:val="center"/>
          </w:tcPr>
          <w:p w14:paraId="20574656">
            <w:pPr>
              <w:autoSpaceDE w:val="0"/>
              <w:autoSpaceDN w:val="0"/>
              <w:adjustRightInd w:val="0"/>
              <w:snapToGrid w:val="0"/>
              <w:spacing w:line="360" w:lineRule="auto"/>
              <w:jc w:val="center"/>
              <w:textAlignment w:val="baseline"/>
              <w:outlineLvl w:val="1"/>
              <w:rPr>
                <w:sz w:val="18"/>
                <w:szCs w:val="18"/>
              </w:rPr>
            </w:pPr>
            <w:r>
              <w:rPr>
                <w:sz w:val="18"/>
                <w:szCs w:val="18"/>
              </w:rPr>
              <w:t>标记</w:t>
            </w:r>
          </w:p>
        </w:tc>
        <w:tc>
          <w:tcPr>
            <w:tcW w:w="1765" w:type="dxa"/>
            <w:vAlign w:val="center"/>
          </w:tcPr>
          <w:p w14:paraId="201D4C6D">
            <w:pPr>
              <w:autoSpaceDE w:val="0"/>
              <w:autoSpaceDN w:val="0"/>
              <w:adjustRightInd w:val="0"/>
              <w:snapToGrid w:val="0"/>
              <w:spacing w:line="360" w:lineRule="auto"/>
              <w:jc w:val="center"/>
              <w:textAlignment w:val="baseline"/>
              <w:outlineLvl w:val="1"/>
              <w:rPr>
                <w:sz w:val="18"/>
                <w:szCs w:val="18"/>
              </w:rPr>
            </w:pPr>
            <w:r>
              <w:rPr>
                <w:sz w:val="18"/>
                <w:szCs w:val="18"/>
              </w:rPr>
              <w:t>标记说明</w:t>
            </w:r>
          </w:p>
        </w:tc>
      </w:tr>
      <w:tr w14:paraId="6EF0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64" w:type="dxa"/>
            <w:vAlign w:val="center"/>
          </w:tcPr>
          <w:p w14:paraId="3270F29A">
            <w:pPr>
              <w:autoSpaceDE w:val="0"/>
              <w:autoSpaceDN w:val="0"/>
              <w:adjustRightInd w:val="0"/>
              <w:snapToGrid w:val="0"/>
              <w:spacing w:line="360" w:lineRule="auto"/>
              <w:jc w:val="center"/>
              <w:textAlignment w:val="baseline"/>
              <w:outlineLvl w:val="1"/>
              <w:rPr>
                <w:rFonts w:hint="eastAsia" w:eastAsia="宋体"/>
                <w:sz w:val="18"/>
                <w:szCs w:val="18"/>
                <w:lang w:val="en-US" w:eastAsia="zh-CN"/>
              </w:rPr>
            </w:pPr>
            <w:r>
              <w:rPr>
                <w:rFonts w:hint="eastAsia"/>
                <w:sz w:val="18"/>
                <w:szCs w:val="18"/>
                <w:lang w:val="en-US" w:eastAsia="zh-CN"/>
              </w:rPr>
              <w:t>L</w:t>
            </w:r>
          </w:p>
        </w:tc>
        <w:tc>
          <w:tcPr>
            <w:tcW w:w="1775" w:type="dxa"/>
            <w:vAlign w:val="center"/>
          </w:tcPr>
          <w:p w14:paraId="54AB37F1">
            <w:pPr>
              <w:autoSpaceDE w:val="0"/>
              <w:autoSpaceDN w:val="0"/>
              <w:adjustRightInd w:val="0"/>
              <w:snapToGrid w:val="0"/>
              <w:spacing w:line="360" w:lineRule="auto"/>
              <w:jc w:val="center"/>
              <w:textAlignment w:val="baseline"/>
              <w:outlineLvl w:val="1"/>
              <w:rPr>
                <w:rFonts w:hint="default" w:eastAsia="宋体"/>
                <w:sz w:val="18"/>
                <w:szCs w:val="18"/>
                <w:highlight w:val="yellow"/>
                <w:lang w:val="en-US" w:eastAsia="zh-CN"/>
              </w:rPr>
            </w:pPr>
            <w:r>
              <w:rPr>
                <w:rFonts w:hint="eastAsia"/>
                <w:sz w:val="18"/>
                <w:szCs w:val="18"/>
                <w:highlight w:val="none"/>
                <w:lang w:val="en-US" w:eastAsia="zh-CN"/>
              </w:rPr>
              <w:t>L相</w:t>
            </w:r>
          </w:p>
        </w:tc>
        <w:tc>
          <w:tcPr>
            <w:tcW w:w="1765" w:type="dxa"/>
            <w:vMerge w:val="restart"/>
            <w:vAlign w:val="center"/>
          </w:tcPr>
          <w:p w14:paraId="0858079A">
            <w:pPr>
              <w:autoSpaceDE w:val="0"/>
              <w:autoSpaceDN w:val="0"/>
              <w:adjustRightInd w:val="0"/>
              <w:snapToGrid w:val="0"/>
              <w:spacing w:line="360" w:lineRule="auto"/>
              <w:jc w:val="center"/>
              <w:textAlignment w:val="baseline"/>
              <w:outlineLvl w:val="1"/>
              <w:rPr>
                <w:rFonts w:hint="default" w:eastAsia="宋体"/>
                <w:sz w:val="18"/>
                <w:szCs w:val="18"/>
                <w:highlight w:val="yellow"/>
                <w:lang w:val="en-US" w:eastAsia="zh-CN"/>
              </w:rPr>
            </w:pPr>
            <w:r>
              <w:rPr>
                <w:rFonts w:hint="eastAsia"/>
                <w:sz w:val="18"/>
                <w:szCs w:val="18"/>
                <w:highlight w:val="none"/>
                <w:lang w:val="en-US" w:eastAsia="zh-CN"/>
              </w:rPr>
              <w:t>输入</w:t>
            </w:r>
          </w:p>
        </w:tc>
      </w:tr>
      <w:tr w14:paraId="39802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 w:hRule="atLeast"/>
          <w:jc w:val="center"/>
        </w:trPr>
        <w:tc>
          <w:tcPr>
            <w:tcW w:w="1764" w:type="dxa"/>
            <w:vAlign w:val="center"/>
          </w:tcPr>
          <w:p w14:paraId="3A833C9F">
            <w:pPr>
              <w:autoSpaceDE w:val="0"/>
              <w:autoSpaceDN w:val="0"/>
              <w:adjustRightInd w:val="0"/>
              <w:snapToGrid w:val="0"/>
              <w:spacing w:line="360" w:lineRule="auto"/>
              <w:jc w:val="center"/>
              <w:textAlignment w:val="baseline"/>
              <w:outlineLvl w:val="1"/>
              <w:rPr>
                <w:rFonts w:hint="default" w:eastAsia="宋体"/>
                <w:sz w:val="18"/>
                <w:szCs w:val="18"/>
                <w:lang w:val="en-US" w:eastAsia="zh-CN"/>
              </w:rPr>
            </w:pPr>
            <w:r>
              <w:rPr>
                <w:rFonts w:hint="eastAsia"/>
                <w:sz w:val="18"/>
                <w:szCs w:val="18"/>
                <w:lang w:val="en-US" w:eastAsia="zh-CN"/>
              </w:rPr>
              <w:t>N</w:t>
            </w:r>
          </w:p>
        </w:tc>
        <w:tc>
          <w:tcPr>
            <w:tcW w:w="1775" w:type="dxa"/>
            <w:vAlign w:val="center"/>
          </w:tcPr>
          <w:p w14:paraId="1B8FD00D">
            <w:pPr>
              <w:autoSpaceDE w:val="0"/>
              <w:autoSpaceDN w:val="0"/>
              <w:adjustRightInd w:val="0"/>
              <w:snapToGrid w:val="0"/>
              <w:spacing w:line="360" w:lineRule="auto"/>
              <w:jc w:val="center"/>
              <w:textAlignment w:val="baseline"/>
              <w:outlineLvl w:val="1"/>
              <w:rPr>
                <w:sz w:val="18"/>
                <w:szCs w:val="18"/>
              </w:rPr>
            </w:pPr>
            <w:r>
              <w:rPr>
                <w:rFonts w:hint="eastAsia"/>
                <w:sz w:val="18"/>
                <w:szCs w:val="18"/>
                <w:highlight w:val="none"/>
                <w:lang w:val="en-US" w:eastAsia="zh-CN"/>
              </w:rPr>
              <w:t>N相</w:t>
            </w:r>
          </w:p>
        </w:tc>
        <w:tc>
          <w:tcPr>
            <w:tcW w:w="1765" w:type="dxa"/>
            <w:vMerge w:val="continue"/>
            <w:tcBorders>
              <w:bottom w:val="single" w:color="auto" w:sz="4" w:space="0"/>
            </w:tcBorders>
            <w:vAlign w:val="center"/>
          </w:tcPr>
          <w:p w14:paraId="6158A925">
            <w:pPr>
              <w:autoSpaceDE w:val="0"/>
              <w:autoSpaceDN w:val="0"/>
              <w:adjustRightInd w:val="0"/>
              <w:snapToGrid w:val="0"/>
              <w:spacing w:line="360" w:lineRule="auto"/>
              <w:jc w:val="center"/>
              <w:textAlignment w:val="baseline"/>
              <w:outlineLvl w:val="1"/>
              <w:rPr>
                <w:sz w:val="18"/>
                <w:szCs w:val="18"/>
              </w:rPr>
            </w:pPr>
          </w:p>
        </w:tc>
      </w:tr>
      <w:tr w14:paraId="6B79E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764" w:type="dxa"/>
            <w:vAlign w:val="center"/>
          </w:tcPr>
          <w:p w14:paraId="3D4661F2">
            <w:pPr>
              <w:autoSpaceDE w:val="0"/>
              <w:autoSpaceDN w:val="0"/>
              <w:adjustRightInd w:val="0"/>
              <w:snapToGrid w:val="0"/>
              <w:spacing w:line="360" w:lineRule="auto"/>
              <w:jc w:val="center"/>
              <w:textAlignment w:val="baseline"/>
              <w:outlineLvl w:val="1"/>
              <w:rPr>
                <w:rFonts w:hint="default" w:eastAsia="宋体"/>
                <w:sz w:val="18"/>
                <w:szCs w:val="18"/>
                <w:lang w:val="en-US" w:eastAsia="zh-CN"/>
              </w:rPr>
            </w:pPr>
            <w:r>
              <w:rPr>
                <w:rFonts w:hint="eastAsia"/>
                <w:sz w:val="18"/>
                <w:szCs w:val="18"/>
                <w:lang w:val="en-US" w:eastAsia="zh-CN"/>
              </w:rPr>
              <w:t>FG</w:t>
            </w:r>
          </w:p>
        </w:tc>
        <w:tc>
          <w:tcPr>
            <w:tcW w:w="1775" w:type="dxa"/>
            <w:tcBorders>
              <w:right w:val="single" w:color="auto" w:sz="4" w:space="0"/>
            </w:tcBorders>
            <w:vAlign w:val="center"/>
          </w:tcPr>
          <w:p w14:paraId="5D1DDC50">
            <w:pPr>
              <w:autoSpaceDE w:val="0"/>
              <w:autoSpaceDN w:val="0"/>
              <w:adjustRightInd w:val="0"/>
              <w:snapToGrid w:val="0"/>
              <w:spacing w:line="360" w:lineRule="auto"/>
              <w:jc w:val="center"/>
              <w:textAlignment w:val="baseline"/>
              <w:outlineLvl w:val="1"/>
              <w:rPr>
                <w:rFonts w:hint="eastAsia" w:eastAsia="宋体"/>
                <w:sz w:val="18"/>
                <w:szCs w:val="18"/>
                <w:highlight w:val="yellow"/>
                <w:lang w:val="en-US" w:eastAsia="zh-CN"/>
              </w:rPr>
            </w:pPr>
            <w:r>
              <w:rPr>
                <w:rFonts w:hint="eastAsia"/>
                <w:sz w:val="18"/>
                <w:szCs w:val="18"/>
                <w:highlight w:val="none"/>
                <w:lang w:val="en-US" w:eastAsia="zh-CN"/>
              </w:rPr>
              <w:t>地</w:t>
            </w:r>
          </w:p>
        </w:tc>
        <w:tc>
          <w:tcPr>
            <w:tcW w:w="1765" w:type="dxa"/>
            <w:tcBorders>
              <w:top w:val="single" w:color="auto" w:sz="4" w:space="0"/>
              <w:left w:val="single" w:color="auto" w:sz="4" w:space="0"/>
              <w:right w:val="single" w:color="auto" w:sz="4" w:space="0"/>
            </w:tcBorders>
            <w:vAlign w:val="center"/>
          </w:tcPr>
          <w:p w14:paraId="68A36429">
            <w:pPr>
              <w:autoSpaceDE w:val="0"/>
              <w:autoSpaceDN w:val="0"/>
              <w:adjustRightInd w:val="0"/>
              <w:snapToGrid w:val="0"/>
              <w:spacing w:line="360" w:lineRule="auto"/>
              <w:jc w:val="center"/>
              <w:textAlignment w:val="baseline"/>
              <w:outlineLvl w:val="1"/>
              <w:rPr>
                <w:sz w:val="18"/>
                <w:szCs w:val="18"/>
                <w:highlight w:val="yellow"/>
              </w:rPr>
            </w:pPr>
          </w:p>
        </w:tc>
      </w:tr>
      <w:tr w14:paraId="095E7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764" w:type="dxa"/>
            <w:vAlign w:val="center"/>
          </w:tcPr>
          <w:p w14:paraId="298A666C">
            <w:pPr>
              <w:autoSpaceDE w:val="0"/>
              <w:autoSpaceDN w:val="0"/>
              <w:adjustRightInd w:val="0"/>
              <w:snapToGrid w:val="0"/>
              <w:spacing w:line="360" w:lineRule="auto"/>
              <w:jc w:val="center"/>
              <w:textAlignment w:val="baseline"/>
              <w:outlineLvl w:val="1"/>
              <w:rPr>
                <w:rFonts w:hint="default" w:eastAsia="宋体"/>
                <w:sz w:val="18"/>
                <w:szCs w:val="18"/>
                <w:lang w:val="en-US" w:eastAsia="zh-CN"/>
              </w:rPr>
            </w:pPr>
            <w:r>
              <w:rPr>
                <w:rFonts w:hint="eastAsia"/>
                <w:sz w:val="18"/>
                <w:szCs w:val="18"/>
                <w:lang w:val="en-US" w:eastAsia="zh-CN"/>
              </w:rPr>
              <w:t>G1</w:t>
            </w:r>
          </w:p>
        </w:tc>
        <w:tc>
          <w:tcPr>
            <w:tcW w:w="1775" w:type="dxa"/>
            <w:tcBorders>
              <w:right w:val="single" w:color="auto" w:sz="4" w:space="0"/>
            </w:tcBorders>
            <w:vAlign w:val="center"/>
          </w:tcPr>
          <w:p w14:paraId="571304CF">
            <w:pPr>
              <w:autoSpaceDE w:val="0"/>
              <w:autoSpaceDN w:val="0"/>
              <w:adjustRightInd w:val="0"/>
              <w:snapToGrid w:val="0"/>
              <w:spacing w:line="360" w:lineRule="auto"/>
              <w:jc w:val="center"/>
              <w:textAlignment w:val="baseline"/>
              <w:outlineLvl w:val="1"/>
              <w:rPr>
                <w:sz w:val="18"/>
                <w:szCs w:val="18"/>
                <w:highlight w:val="yellow"/>
              </w:rPr>
            </w:pPr>
            <w:r>
              <w:rPr>
                <w:sz w:val="18"/>
                <w:szCs w:val="18"/>
              </w:rPr>
              <w:t>工作电源-</w:t>
            </w:r>
          </w:p>
        </w:tc>
        <w:tc>
          <w:tcPr>
            <w:tcW w:w="1765" w:type="dxa"/>
            <w:vMerge w:val="restart"/>
            <w:tcBorders>
              <w:left w:val="single" w:color="auto" w:sz="4" w:space="0"/>
              <w:right w:val="single" w:color="auto" w:sz="4" w:space="0"/>
            </w:tcBorders>
            <w:vAlign w:val="center"/>
          </w:tcPr>
          <w:p w14:paraId="27BB766F">
            <w:pPr>
              <w:autoSpaceDE w:val="0"/>
              <w:autoSpaceDN w:val="0"/>
              <w:adjustRightInd w:val="0"/>
              <w:snapToGrid w:val="0"/>
              <w:spacing w:line="360" w:lineRule="auto"/>
              <w:jc w:val="center"/>
              <w:textAlignment w:val="baseline"/>
              <w:outlineLvl w:val="1"/>
              <w:rPr>
                <w:rFonts w:hint="default" w:eastAsia="宋体"/>
                <w:sz w:val="18"/>
                <w:szCs w:val="18"/>
                <w:highlight w:val="yellow"/>
                <w:lang w:val="en-US" w:eastAsia="zh-CN"/>
              </w:rPr>
            </w:pPr>
            <w:r>
              <w:rPr>
                <w:rFonts w:hint="eastAsia"/>
                <w:sz w:val="18"/>
                <w:szCs w:val="18"/>
                <w:highlight w:val="none"/>
                <w:lang w:val="en-US" w:eastAsia="zh-CN"/>
              </w:rPr>
              <w:t>5V输出</w:t>
            </w:r>
          </w:p>
        </w:tc>
      </w:tr>
      <w:tr w14:paraId="22DB7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65831BFB">
            <w:pPr>
              <w:autoSpaceDE w:val="0"/>
              <w:autoSpaceDN w:val="0"/>
              <w:adjustRightInd w:val="0"/>
              <w:snapToGrid w:val="0"/>
              <w:spacing w:line="360" w:lineRule="auto"/>
              <w:jc w:val="center"/>
              <w:textAlignment w:val="baseline"/>
              <w:outlineLvl w:val="1"/>
              <w:rPr>
                <w:rFonts w:hint="default" w:eastAsia="宋体"/>
                <w:sz w:val="18"/>
                <w:szCs w:val="18"/>
                <w:lang w:val="en-US" w:eastAsia="zh-CN"/>
              </w:rPr>
            </w:pPr>
            <w:r>
              <w:rPr>
                <w:rFonts w:hint="eastAsia"/>
                <w:sz w:val="18"/>
                <w:szCs w:val="18"/>
                <w:lang w:val="en-US" w:eastAsia="zh-CN"/>
              </w:rPr>
              <w:t>V1</w:t>
            </w:r>
          </w:p>
        </w:tc>
        <w:tc>
          <w:tcPr>
            <w:tcW w:w="1775" w:type="dxa"/>
            <w:tcBorders>
              <w:right w:val="single" w:color="auto" w:sz="4" w:space="0"/>
            </w:tcBorders>
            <w:vAlign w:val="center"/>
          </w:tcPr>
          <w:p w14:paraId="1C78E8C2">
            <w:pPr>
              <w:autoSpaceDE w:val="0"/>
              <w:autoSpaceDN w:val="0"/>
              <w:adjustRightInd w:val="0"/>
              <w:snapToGrid w:val="0"/>
              <w:spacing w:line="360" w:lineRule="auto"/>
              <w:jc w:val="center"/>
              <w:textAlignment w:val="baseline"/>
              <w:outlineLvl w:val="1"/>
              <w:rPr>
                <w:sz w:val="18"/>
                <w:szCs w:val="18"/>
                <w:highlight w:val="yellow"/>
              </w:rPr>
            </w:pPr>
            <w:r>
              <w:rPr>
                <w:sz w:val="18"/>
                <w:szCs w:val="18"/>
              </w:rPr>
              <w:t>工作电源+</w:t>
            </w:r>
          </w:p>
        </w:tc>
        <w:tc>
          <w:tcPr>
            <w:tcW w:w="1765" w:type="dxa"/>
            <w:vMerge w:val="continue"/>
            <w:tcBorders>
              <w:left w:val="single" w:color="auto" w:sz="4" w:space="0"/>
              <w:right w:val="single" w:color="auto" w:sz="4" w:space="0"/>
            </w:tcBorders>
            <w:vAlign w:val="center"/>
          </w:tcPr>
          <w:p w14:paraId="6B717BBE">
            <w:pPr>
              <w:autoSpaceDE w:val="0"/>
              <w:autoSpaceDN w:val="0"/>
              <w:adjustRightInd w:val="0"/>
              <w:snapToGrid w:val="0"/>
              <w:spacing w:line="360" w:lineRule="auto"/>
              <w:jc w:val="center"/>
              <w:textAlignment w:val="baseline"/>
              <w:outlineLvl w:val="1"/>
              <w:rPr>
                <w:sz w:val="18"/>
                <w:szCs w:val="18"/>
                <w:highlight w:val="yellow"/>
              </w:rPr>
            </w:pPr>
          </w:p>
        </w:tc>
      </w:tr>
      <w:tr w14:paraId="4227A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0D6BE9EE">
            <w:pPr>
              <w:autoSpaceDE w:val="0"/>
              <w:autoSpaceDN w:val="0"/>
              <w:adjustRightInd w:val="0"/>
              <w:snapToGrid w:val="0"/>
              <w:spacing w:line="360" w:lineRule="auto"/>
              <w:jc w:val="center"/>
              <w:textAlignment w:val="baseline"/>
              <w:outlineLvl w:val="1"/>
              <w:rPr>
                <w:rFonts w:hint="default" w:eastAsia="宋体"/>
                <w:sz w:val="18"/>
                <w:szCs w:val="18"/>
                <w:lang w:val="en-US" w:eastAsia="zh-CN"/>
              </w:rPr>
            </w:pPr>
            <w:r>
              <w:rPr>
                <w:rFonts w:hint="eastAsia"/>
                <w:sz w:val="18"/>
                <w:szCs w:val="18"/>
                <w:lang w:val="en-US" w:eastAsia="zh-CN"/>
              </w:rPr>
              <w:t>G2</w:t>
            </w:r>
          </w:p>
        </w:tc>
        <w:tc>
          <w:tcPr>
            <w:tcW w:w="1775" w:type="dxa"/>
            <w:tcBorders>
              <w:right w:val="single" w:color="auto" w:sz="4" w:space="0"/>
            </w:tcBorders>
            <w:vAlign w:val="center"/>
          </w:tcPr>
          <w:p w14:paraId="6DA69F98">
            <w:pPr>
              <w:autoSpaceDE w:val="0"/>
              <w:autoSpaceDN w:val="0"/>
              <w:adjustRightInd w:val="0"/>
              <w:snapToGrid w:val="0"/>
              <w:spacing w:line="360" w:lineRule="auto"/>
              <w:jc w:val="center"/>
              <w:textAlignment w:val="baseline"/>
              <w:outlineLvl w:val="1"/>
              <w:rPr>
                <w:sz w:val="18"/>
                <w:szCs w:val="18"/>
                <w:highlight w:val="yellow"/>
              </w:rPr>
            </w:pPr>
            <w:r>
              <w:rPr>
                <w:sz w:val="18"/>
                <w:szCs w:val="18"/>
              </w:rPr>
              <w:t>工作电源-</w:t>
            </w:r>
          </w:p>
        </w:tc>
        <w:tc>
          <w:tcPr>
            <w:tcW w:w="1765" w:type="dxa"/>
            <w:vMerge w:val="restart"/>
            <w:tcBorders>
              <w:left w:val="single" w:color="auto" w:sz="4" w:space="0"/>
              <w:right w:val="single" w:color="auto" w:sz="4" w:space="0"/>
            </w:tcBorders>
            <w:vAlign w:val="center"/>
          </w:tcPr>
          <w:p w14:paraId="4BCB4BD2">
            <w:pPr>
              <w:autoSpaceDE w:val="0"/>
              <w:autoSpaceDN w:val="0"/>
              <w:adjustRightInd w:val="0"/>
              <w:snapToGrid w:val="0"/>
              <w:spacing w:line="360" w:lineRule="auto"/>
              <w:jc w:val="center"/>
              <w:textAlignment w:val="baseline"/>
              <w:outlineLvl w:val="1"/>
              <w:rPr>
                <w:sz w:val="18"/>
                <w:szCs w:val="18"/>
                <w:highlight w:val="yellow"/>
              </w:rPr>
            </w:pPr>
            <w:r>
              <w:rPr>
                <w:rFonts w:hint="eastAsia"/>
                <w:sz w:val="18"/>
                <w:szCs w:val="18"/>
                <w:highlight w:val="none"/>
                <w:lang w:val="en-US" w:eastAsia="zh-CN"/>
              </w:rPr>
              <w:t>24V输出</w:t>
            </w:r>
          </w:p>
        </w:tc>
      </w:tr>
      <w:tr w14:paraId="46EB6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409C9892">
            <w:pPr>
              <w:autoSpaceDE w:val="0"/>
              <w:autoSpaceDN w:val="0"/>
              <w:adjustRightInd w:val="0"/>
              <w:snapToGrid w:val="0"/>
              <w:spacing w:line="360" w:lineRule="auto"/>
              <w:jc w:val="center"/>
              <w:textAlignment w:val="baseline"/>
              <w:outlineLvl w:val="1"/>
              <w:rPr>
                <w:rFonts w:hint="default" w:eastAsia="宋体"/>
                <w:sz w:val="18"/>
                <w:szCs w:val="18"/>
                <w:lang w:val="en-US" w:eastAsia="zh-CN"/>
              </w:rPr>
            </w:pPr>
            <w:r>
              <w:rPr>
                <w:rFonts w:hint="eastAsia"/>
                <w:sz w:val="18"/>
                <w:szCs w:val="18"/>
                <w:lang w:val="en-US" w:eastAsia="zh-CN"/>
              </w:rPr>
              <w:t>V2</w:t>
            </w:r>
          </w:p>
        </w:tc>
        <w:tc>
          <w:tcPr>
            <w:tcW w:w="1775" w:type="dxa"/>
            <w:tcBorders>
              <w:right w:val="single" w:color="auto" w:sz="4" w:space="0"/>
            </w:tcBorders>
            <w:vAlign w:val="center"/>
          </w:tcPr>
          <w:p w14:paraId="2B2A3E59">
            <w:pPr>
              <w:autoSpaceDE w:val="0"/>
              <w:autoSpaceDN w:val="0"/>
              <w:adjustRightInd w:val="0"/>
              <w:snapToGrid w:val="0"/>
              <w:spacing w:line="360" w:lineRule="auto"/>
              <w:jc w:val="center"/>
              <w:textAlignment w:val="baseline"/>
              <w:outlineLvl w:val="1"/>
              <w:rPr>
                <w:sz w:val="18"/>
                <w:szCs w:val="18"/>
                <w:highlight w:val="yellow"/>
              </w:rPr>
            </w:pPr>
            <w:r>
              <w:rPr>
                <w:sz w:val="18"/>
                <w:szCs w:val="18"/>
              </w:rPr>
              <w:t>工作电源+</w:t>
            </w:r>
          </w:p>
        </w:tc>
        <w:tc>
          <w:tcPr>
            <w:tcW w:w="1765" w:type="dxa"/>
            <w:vMerge w:val="continue"/>
            <w:tcBorders>
              <w:left w:val="single" w:color="auto" w:sz="4" w:space="0"/>
              <w:right w:val="single" w:color="auto" w:sz="4" w:space="0"/>
            </w:tcBorders>
            <w:vAlign w:val="center"/>
          </w:tcPr>
          <w:p w14:paraId="28A55C08">
            <w:pPr>
              <w:autoSpaceDE w:val="0"/>
              <w:autoSpaceDN w:val="0"/>
              <w:adjustRightInd w:val="0"/>
              <w:snapToGrid w:val="0"/>
              <w:spacing w:line="360" w:lineRule="auto"/>
              <w:jc w:val="center"/>
              <w:textAlignment w:val="baseline"/>
              <w:outlineLvl w:val="1"/>
              <w:rPr>
                <w:sz w:val="18"/>
                <w:szCs w:val="18"/>
                <w:highlight w:val="yellow"/>
              </w:rPr>
            </w:pPr>
          </w:p>
        </w:tc>
      </w:tr>
    </w:tbl>
    <w:p w14:paraId="1C08D5B5">
      <w:pPr>
        <w:pStyle w:val="60"/>
      </w:pPr>
    </w:p>
    <w:p w14:paraId="7CF70704">
      <w:pPr>
        <w:topLinePunct/>
        <w:spacing w:line="312" w:lineRule="exact"/>
        <w:jc w:val="left"/>
        <w:rPr>
          <w:rFonts w:hint="eastAsia"/>
          <w:snapToGrid w:val="0"/>
          <w:szCs w:val="21"/>
          <w:lang w:eastAsia="zh-CN"/>
        </w:rPr>
      </w:pPr>
      <w:r>
        <w:rPr>
          <w:rFonts w:hint="eastAsia"/>
          <w:snapToGrid w:val="0"/>
          <w:szCs w:val="21"/>
          <w:lang w:eastAsia="zh-CN"/>
        </w:rPr>
        <w:t>（</w:t>
      </w:r>
      <w:r>
        <w:rPr>
          <w:rFonts w:hint="eastAsia"/>
          <w:snapToGrid w:val="0"/>
          <w:szCs w:val="21"/>
          <w:lang w:val="en-US" w:eastAsia="zh-CN"/>
        </w:rPr>
        <w:t>3</w:t>
      </w:r>
      <w:r>
        <w:rPr>
          <w:rFonts w:hint="eastAsia"/>
          <w:snapToGrid w:val="0"/>
          <w:szCs w:val="21"/>
          <w:lang w:eastAsia="zh-CN"/>
        </w:rPr>
        <w:t>）</w:t>
      </w:r>
      <w:r>
        <w:rPr>
          <w:rFonts w:hint="default" w:ascii="Times New Roman" w:hAnsi="Times New Roman" w:cs="Times New Roman"/>
          <w:snapToGrid w:val="0"/>
          <w:szCs w:val="21"/>
          <w:lang w:eastAsia="zh-CN"/>
        </w:rPr>
        <w:t>PMF710：</w:t>
      </w:r>
      <w:r>
        <w:rPr>
          <w:rFonts w:hint="eastAsia"/>
          <w:szCs w:val="21"/>
          <w:lang w:val="en-US" w:eastAsia="zh-CN"/>
        </w:rPr>
        <w:t>C类电源</w:t>
      </w:r>
    </w:p>
    <w:p w14:paraId="100E0413">
      <w:pPr>
        <w:jc w:val="center"/>
        <w:rPr>
          <w:rFonts w:hint="eastAsia" w:asciiTheme="minorEastAsia" w:hAnsiTheme="minorEastAsia" w:eastAsiaTheme="minorEastAsia" w:cstheme="minorEastAsia"/>
          <w:snapToGrid w:val="0"/>
          <w:szCs w:val="21"/>
          <w:lang w:eastAsia="zh-CN"/>
        </w:rPr>
      </w:pPr>
      <w:r>
        <w:rPr>
          <w:rFonts w:hint="eastAsia" w:asciiTheme="minorEastAsia" w:hAnsiTheme="minorEastAsia" w:eastAsiaTheme="minorEastAsia" w:cstheme="minorEastAsia"/>
          <w:snapToGrid w:val="0"/>
          <w:szCs w:val="21"/>
          <w:lang w:eastAsia="zh-CN"/>
        </w:rPr>
        <w:t>表5-2  电源模块</w:t>
      </w:r>
      <w:r>
        <w:rPr>
          <w:rFonts w:hint="eastAsia"/>
          <w:lang w:val="en-US" w:eastAsia="zh-CN"/>
        </w:rPr>
        <w:t>输入输出</w:t>
      </w:r>
      <w:r>
        <w:rPr>
          <w:rFonts w:hint="eastAsia"/>
        </w:rPr>
        <w:t>定义</w:t>
      </w:r>
      <w:r>
        <w:rPr>
          <w:rFonts w:hint="eastAsia" w:asciiTheme="minorEastAsia" w:hAnsiTheme="minorEastAsia" w:eastAsiaTheme="minorEastAsia" w:cstheme="minorEastAsia"/>
          <w:snapToGrid w:val="0"/>
          <w:szCs w:val="21"/>
          <w:lang w:eastAsia="zh-CN"/>
        </w:rPr>
        <w:t>引脚</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4"/>
        <w:gridCol w:w="1775"/>
        <w:gridCol w:w="1765"/>
      </w:tblGrid>
      <w:tr w14:paraId="77AD8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764" w:type="dxa"/>
            <w:vAlign w:val="center"/>
          </w:tcPr>
          <w:p w14:paraId="425376FC">
            <w:pPr>
              <w:autoSpaceDE w:val="0"/>
              <w:autoSpaceDN w:val="0"/>
              <w:adjustRightInd w:val="0"/>
              <w:snapToGrid w:val="0"/>
              <w:spacing w:line="360" w:lineRule="auto"/>
              <w:jc w:val="center"/>
              <w:textAlignment w:val="baseline"/>
              <w:outlineLvl w:val="1"/>
              <w:rPr>
                <w:sz w:val="18"/>
                <w:szCs w:val="18"/>
              </w:rPr>
            </w:pPr>
            <w:r>
              <w:rPr>
                <w:sz w:val="18"/>
                <w:szCs w:val="18"/>
              </w:rPr>
              <w:t>引脚号</w:t>
            </w:r>
          </w:p>
        </w:tc>
        <w:tc>
          <w:tcPr>
            <w:tcW w:w="1775" w:type="dxa"/>
            <w:vAlign w:val="center"/>
          </w:tcPr>
          <w:p w14:paraId="20666421">
            <w:pPr>
              <w:autoSpaceDE w:val="0"/>
              <w:autoSpaceDN w:val="0"/>
              <w:adjustRightInd w:val="0"/>
              <w:snapToGrid w:val="0"/>
              <w:spacing w:line="360" w:lineRule="auto"/>
              <w:jc w:val="center"/>
              <w:textAlignment w:val="baseline"/>
              <w:outlineLvl w:val="1"/>
              <w:rPr>
                <w:sz w:val="18"/>
                <w:szCs w:val="18"/>
              </w:rPr>
            </w:pPr>
            <w:r>
              <w:rPr>
                <w:sz w:val="18"/>
                <w:szCs w:val="18"/>
              </w:rPr>
              <w:t>标记</w:t>
            </w:r>
          </w:p>
        </w:tc>
        <w:tc>
          <w:tcPr>
            <w:tcW w:w="1765" w:type="dxa"/>
            <w:vAlign w:val="center"/>
          </w:tcPr>
          <w:p w14:paraId="4DFFE9E5">
            <w:pPr>
              <w:autoSpaceDE w:val="0"/>
              <w:autoSpaceDN w:val="0"/>
              <w:adjustRightInd w:val="0"/>
              <w:snapToGrid w:val="0"/>
              <w:spacing w:line="360" w:lineRule="auto"/>
              <w:jc w:val="center"/>
              <w:textAlignment w:val="baseline"/>
              <w:outlineLvl w:val="1"/>
              <w:rPr>
                <w:sz w:val="18"/>
                <w:szCs w:val="18"/>
              </w:rPr>
            </w:pPr>
            <w:r>
              <w:rPr>
                <w:sz w:val="18"/>
                <w:szCs w:val="18"/>
              </w:rPr>
              <w:t>标记说明</w:t>
            </w:r>
          </w:p>
        </w:tc>
      </w:tr>
      <w:tr w14:paraId="33207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64" w:type="dxa"/>
            <w:vAlign w:val="center"/>
          </w:tcPr>
          <w:p w14:paraId="4B3EBA0A">
            <w:pPr>
              <w:autoSpaceDE w:val="0"/>
              <w:autoSpaceDN w:val="0"/>
              <w:adjustRightInd w:val="0"/>
              <w:snapToGrid w:val="0"/>
              <w:spacing w:line="360" w:lineRule="auto"/>
              <w:jc w:val="center"/>
              <w:textAlignment w:val="baseline"/>
              <w:outlineLvl w:val="1"/>
              <w:rPr>
                <w:rFonts w:hint="default" w:eastAsia="宋体"/>
                <w:sz w:val="18"/>
                <w:szCs w:val="18"/>
                <w:lang w:val="en-US" w:eastAsia="zh-CN"/>
              </w:rPr>
            </w:pPr>
            <w:r>
              <w:rPr>
                <w:rFonts w:hint="eastAsia"/>
                <w:sz w:val="18"/>
                <w:szCs w:val="18"/>
                <w:lang w:val="en-US" w:eastAsia="zh-CN"/>
              </w:rPr>
              <w:t>+Vin</w:t>
            </w:r>
          </w:p>
        </w:tc>
        <w:tc>
          <w:tcPr>
            <w:tcW w:w="1775" w:type="dxa"/>
            <w:vAlign w:val="center"/>
          </w:tcPr>
          <w:p w14:paraId="772AB29E">
            <w:pPr>
              <w:autoSpaceDE w:val="0"/>
              <w:autoSpaceDN w:val="0"/>
              <w:adjustRightInd w:val="0"/>
              <w:snapToGrid w:val="0"/>
              <w:spacing w:line="360" w:lineRule="auto"/>
              <w:jc w:val="center"/>
              <w:textAlignment w:val="baseline"/>
              <w:outlineLvl w:val="1"/>
              <w:rPr>
                <w:rFonts w:hint="default" w:eastAsia="宋体"/>
                <w:sz w:val="18"/>
                <w:szCs w:val="18"/>
                <w:highlight w:val="yellow"/>
                <w:lang w:val="en-US" w:eastAsia="zh-CN"/>
              </w:rPr>
            </w:pPr>
            <w:r>
              <w:rPr>
                <w:rFonts w:hint="eastAsia"/>
                <w:sz w:val="18"/>
                <w:szCs w:val="18"/>
                <w:highlight w:val="none"/>
                <w:lang w:val="en-US" w:eastAsia="zh-CN"/>
              </w:rPr>
              <w:t>L相</w:t>
            </w:r>
          </w:p>
        </w:tc>
        <w:tc>
          <w:tcPr>
            <w:tcW w:w="1765" w:type="dxa"/>
            <w:vMerge w:val="restart"/>
            <w:vAlign w:val="center"/>
          </w:tcPr>
          <w:p w14:paraId="3711631E">
            <w:pPr>
              <w:autoSpaceDE w:val="0"/>
              <w:autoSpaceDN w:val="0"/>
              <w:adjustRightInd w:val="0"/>
              <w:snapToGrid w:val="0"/>
              <w:spacing w:line="360" w:lineRule="auto"/>
              <w:jc w:val="center"/>
              <w:textAlignment w:val="baseline"/>
              <w:outlineLvl w:val="1"/>
              <w:rPr>
                <w:rFonts w:hint="default" w:eastAsia="宋体"/>
                <w:sz w:val="18"/>
                <w:szCs w:val="18"/>
                <w:highlight w:val="yellow"/>
                <w:lang w:val="en-US" w:eastAsia="zh-CN"/>
              </w:rPr>
            </w:pPr>
            <w:r>
              <w:rPr>
                <w:rFonts w:hint="eastAsia"/>
                <w:sz w:val="18"/>
                <w:szCs w:val="18"/>
                <w:highlight w:val="none"/>
                <w:lang w:val="en-US" w:eastAsia="zh-CN"/>
              </w:rPr>
              <w:t>输入</w:t>
            </w:r>
          </w:p>
        </w:tc>
      </w:tr>
      <w:tr w14:paraId="18D12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 w:hRule="atLeast"/>
          <w:jc w:val="center"/>
        </w:trPr>
        <w:tc>
          <w:tcPr>
            <w:tcW w:w="1764" w:type="dxa"/>
            <w:vAlign w:val="center"/>
          </w:tcPr>
          <w:p w14:paraId="0544B4EF">
            <w:pPr>
              <w:autoSpaceDE w:val="0"/>
              <w:autoSpaceDN w:val="0"/>
              <w:adjustRightInd w:val="0"/>
              <w:snapToGrid w:val="0"/>
              <w:spacing w:line="360" w:lineRule="auto"/>
              <w:jc w:val="center"/>
              <w:textAlignment w:val="baseline"/>
              <w:outlineLvl w:val="1"/>
              <w:rPr>
                <w:rFonts w:hint="default" w:eastAsia="宋体"/>
                <w:sz w:val="18"/>
                <w:szCs w:val="18"/>
                <w:lang w:val="en-US" w:eastAsia="zh-CN"/>
              </w:rPr>
            </w:pPr>
            <w:r>
              <w:rPr>
                <w:rFonts w:hint="eastAsia"/>
                <w:sz w:val="18"/>
                <w:szCs w:val="18"/>
                <w:lang w:val="en-US" w:eastAsia="zh-CN"/>
              </w:rPr>
              <w:t>-Vin</w:t>
            </w:r>
          </w:p>
        </w:tc>
        <w:tc>
          <w:tcPr>
            <w:tcW w:w="1775" w:type="dxa"/>
            <w:vAlign w:val="center"/>
          </w:tcPr>
          <w:p w14:paraId="50A8D2AC">
            <w:pPr>
              <w:autoSpaceDE w:val="0"/>
              <w:autoSpaceDN w:val="0"/>
              <w:adjustRightInd w:val="0"/>
              <w:snapToGrid w:val="0"/>
              <w:spacing w:line="360" w:lineRule="auto"/>
              <w:jc w:val="center"/>
              <w:textAlignment w:val="baseline"/>
              <w:outlineLvl w:val="1"/>
              <w:rPr>
                <w:sz w:val="18"/>
                <w:szCs w:val="18"/>
              </w:rPr>
            </w:pPr>
            <w:r>
              <w:rPr>
                <w:rFonts w:hint="eastAsia"/>
                <w:sz w:val="18"/>
                <w:szCs w:val="18"/>
                <w:highlight w:val="none"/>
                <w:lang w:val="en-US" w:eastAsia="zh-CN"/>
              </w:rPr>
              <w:t>N相</w:t>
            </w:r>
          </w:p>
        </w:tc>
        <w:tc>
          <w:tcPr>
            <w:tcW w:w="1765" w:type="dxa"/>
            <w:vMerge w:val="continue"/>
            <w:tcBorders>
              <w:bottom w:val="single" w:color="auto" w:sz="4" w:space="0"/>
            </w:tcBorders>
            <w:vAlign w:val="center"/>
          </w:tcPr>
          <w:p w14:paraId="7447E849">
            <w:pPr>
              <w:autoSpaceDE w:val="0"/>
              <w:autoSpaceDN w:val="0"/>
              <w:adjustRightInd w:val="0"/>
              <w:snapToGrid w:val="0"/>
              <w:spacing w:line="360" w:lineRule="auto"/>
              <w:jc w:val="center"/>
              <w:textAlignment w:val="baseline"/>
              <w:outlineLvl w:val="1"/>
              <w:rPr>
                <w:sz w:val="18"/>
                <w:szCs w:val="18"/>
              </w:rPr>
            </w:pPr>
          </w:p>
        </w:tc>
      </w:tr>
      <w:tr w14:paraId="251AF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764" w:type="dxa"/>
            <w:vAlign w:val="center"/>
          </w:tcPr>
          <w:p w14:paraId="2EFB53F1">
            <w:pPr>
              <w:autoSpaceDE w:val="0"/>
              <w:autoSpaceDN w:val="0"/>
              <w:adjustRightInd w:val="0"/>
              <w:snapToGrid w:val="0"/>
              <w:spacing w:line="360" w:lineRule="auto"/>
              <w:jc w:val="center"/>
              <w:textAlignment w:val="baseline"/>
              <w:outlineLvl w:val="1"/>
              <w:rPr>
                <w:rFonts w:hint="default" w:eastAsia="宋体"/>
                <w:sz w:val="18"/>
                <w:szCs w:val="18"/>
                <w:lang w:val="en-US" w:eastAsia="zh-CN"/>
              </w:rPr>
            </w:pPr>
            <w:r>
              <w:rPr>
                <w:rFonts w:hint="eastAsia"/>
                <w:sz w:val="18"/>
                <w:szCs w:val="18"/>
                <w:lang w:val="en-US" w:eastAsia="zh-CN"/>
              </w:rPr>
              <w:t>FG</w:t>
            </w:r>
          </w:p>
        </w:tc>
        <w:tc>
          <w:tcPr>
            <w:tcW w:w="1775" w:type="dxa"/>
            <w:tcBorders>
              <w:right w:val="single" w:color="auto" w:sz="4" w:space="0"/>
            </w:tcBorders>
            <w:vAlign w:val="center"/>
          </w:tcPr>
          <w:p w14:paraId="0AD9E662">
            <w:pPr>
              <w:autoSpaceDE w:val="0"/>
              <w:autoSpaceDN w:val="0"/>
              <w:adjustRightInd w:val="0"/>
              <w:snapToGrid w:val="0"/>
              <w:spacing w:line="360" w:lineRule="auto"/>
              <w:jc w:val="center"/>
              <w:textAlignment w:val="baseline"/>
              <w:outlineLvl w:val="1"/>
              <w:rPr>
                <w:rFonts w:hint="eastAsia" w:eastAsia="宋体"/>
                <w:sz w:val="18"/>
                <w:szCs w:val="18"/>
                <w:highlight w:val="yellow"/>
                <w:lang w:val="en-US" w:eastAsia="zh-CN"/>
              </w:rPr>
            </w:pPr>
            <w:r>
              <w:rPr>
                <w:rFonts w:hint="eastAsia"/>
                <w:sz w:val="18"/>
                <w:szCs w:val="18"/>
                <w:highlight w:val="none"/>
                <w:lang w:val="en-US" w:eastAsia="zh-CN"/>
              </w:rPr>
              <w:t>地</w:t>
            </w:r>
          </w:p>
        </w:tc>
        <w:tc>
          <w:tcPr>
            <w:tcW w:w="1765" w:type="dxa"/>
            <w:tcBorders>
              <w:top w:val="single" w:color="auto" w:sz="4" w:space="0"/>
              <w:left w:val="single" w:color="auto" w:sz="4" w:space="0"/>
              <w:right w:val="single" w:color="auto" w:sz="4" w:space="0"/>
            </w:tcBorders>
            <w:vAlign w:val="center"/>
          </w:tcPr>
          <w:p w14:paraId="74CF7B9E">
            <w:pPr>
              <w:autoSpaceDE w:val="0"/>
              <w:autoSpaceDN w:val="0"/>
              <w:adjustRightInd w:val="0"/>
              <w:snapToGrid w:val="0"/>
              <w:spacing w:line="360" w:lineRule="auto"/>
              <w:jc w:val="center"/>
              <w:textAlignment w:val="baseline"/>
              <w:outlineLvl w:val="1"/>
              <w:rPr>
                <w:sz w:val="18"/>
                <w:szCs w:val="18"/>
                <w:highlight w:val="yellow"/>
              </w:rPr>
            </w:pPr>
          </w:p>
        </w:tc>
      </w:tr>
      <w:tr w14:paraId="6CB07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764" w:type="dxa"/>
            <w:vAlign w:val="center"/>
          </w:tcPr>
          <w:p w14:paraId="70041028">
            <w:pPr>
              <w:autoSpaceDE w:val="0"/>
              <w:autoSpaceDN w:val="0"/>
              <w:adjustRightInd w:val="0"/>
              <w:snapToGrid w:val="0"/>
              <w:spacing w:line="360" w:lineRule="auto"/>
              <w:jc w:val="center"/>
              <w:textAlignment w:val="baseline"/>
              <w:outlineLvl w:val="1"/>
              <w:rPr>
                <w:rFonts w:hint="default" w:eastAsia="宋体"/>
                <w:sz w:val="18"/>
                <w:szCs w:val="18"/>
                <w:lang w:val="en-US" w:eastAsia="zh-CN"/>
              </w:rPr>
            </w:pPr>
            <w:r>
              <w:rPr>
                <w:rFonts w:hint="eastAsia"/>
                <w:sz w:val="18"/>
                <w:szCs w:val="18"/>
                <w:lang w:val="en-US" w:eastAsia="zh-CN"/>
              </w:rPr>
              <w:t>+V1</w:t>
            </w:r>
          </w:p>
        </w:tc>
        <w:tc>
          <w:tcPr>
            <w:tcW w:w="1775" w:type="dxa"/>
            <w:tcBorders>
              <w:right w:val="single" w:color="auto" w:sz="4" w:space="0"/>
            </w:tcBorders>
            <w:vAlign w:val="center"/>
          </w:tcPr>
          <w:p w14:paraId="59537607">
            <w:pPr>
              <w:autoSpaceDE w:val="0"/>
              <w:autoSpaceDN w:val="0"/>
              <w:adjustRightInd w:val="0"/>
              <w:snapToGrid w:val="0"/>
              <w:spacing w:line="360" w:lineRule="auto"/>
              <w:jc w:val="center"/>
              <w:textAlignment w:val="baseline"/>
              <w:outlineLvl w:val="1"/>
              <w:rPr>
                <w:rFonts w:hint="eastAsia" w:eastAsia="宋体"/>
                <w:sz w:val="18"/>
                <w:szCs w:val="18"/>
                <w:highlight w:val="yellow"/>
                <w:lang w:val="en-US" w:eastAsia="zh-CN"/>
              </w:rPr>
            </w:pPr>
            <w:r>
              <w:rPr>
                <w:sz w:val="18"/>
                <w:szCs w:val="18"/>
              </w:rPr>
              <w:t>工作电源</w:t>
            </w:r>
            <w:r>
              <w:rPr>
                <w:rFonts w:hint="eastAsia"/>
                <w:sz w:val="18"/>
                <w:szCs w:val="18"/>
                <w:lang w:val="en-US" w:eastAsia="zh-CN"/>
              </w:rPr>
              <w:t>+</w:t>
            </w:r>
          </w:p>
        </w:tc>
        <w:tc>
          <w:tcPr>
            <w:tcW w:w="1765" w:type="dxa"/>
            <w:vMerge w:val="restart"/>
            <w:tcBorders>
              <w:left w:val="single" w:color="auto" w:sz="4" w:space="0"/>
              <w:right w:val="single" w:color="auto" w:sz="4" w:space="0"/>
            </w:tcBorders>
            <w:vAlign w:val="center"/>
          </w:tcPr>
          <w:p w14:paraId="5156113D">
            <w:pPr>
              <w:autoSpaceDE w:val="0"/>
              <w:autoSpaceDN w:val="0"/>
              <w:adjustRightInd w:val="0"/>
              <w:snapToGrid w:val="0"/>
              <w:spacing w:line="360" w:lineRule="auto"/>
              <w:jc w:val="center"/>
              <w:textAlignment w:val="baseline"/>
              <w:outlineLvl w:val="1"/>
              <w:rPr>
                <w:rFonts w:hint="default" w:eastAsia="宋体"/>
                <w:sz w:val="18"/>
                <w:szCs w:val="18"/>
                <w:highlight w:val="yellow"/>
                <w:lang w:val="en-US" w:eastAsia="zh-CN"/>
              </w:rPr>
            </w:pPr>
            <w:r>
              <w:rPr>
                <w:rFonts w:hint="eastAsia"/>
                <w:sz w:val="18"/>
                <w:szCs w:val="18"/>
                <w:highlight w:val="none"/>
                <w:lang w:val="en-US" w:eastAsia="zh-CN"/>
              </w:rPr>
              <w:t>5V输出</w:t>
            </w:r>
          </w:p>
        </w:tc>
      </w:tr>
      <w:tr w14:paraId="7C51A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449B7C92">
            <w:pPr>
              <w:autoSpaceDE w:val="0"/>
              <w:autoSpaceDN w:val="0"/>
              <w:adjustRightInd w:val="0"/>
              <w:snapToGrid w:val="0"/>
              <w:spacing w:line="360" w:lineRule="auto"/>
              <w:jc w:val="center"/>
              <w:textAlignment w:val="baseline"/>
              <w:outlineLvl w:val="1"/>
              <w:rPr>
                <w:rFonts w:hint="default" w:eastAsia="宋体"/>
                <w:sz w:val="18"/>
                <w:szCs w:val="18"/>
                <w:lang w:val="en-US" w:eastAsia="zh-CN"/>
              </w:rPr>
            </w:pPr>
            <w:r>
              <w:rPr>
                <w:rFonts w:hint="eastAsia"/>
                <w:sz w:val="18"/>
                <w:szCs w:val="18"/>
                <w:lang w:val="en-US" w:eastAsia="zh-CN"/>
              </w:rPr>
              <w:t>-V1</w:t>
            </w:r>
          </w:p>
        </w:tc>
        <w:tc>
          <w:tcPr>
            <w:tcW w:w="1775" w:type="dxa"/>
            <w:tcBorders>
              <w:right w:val="single" w:color="auto" w:sz="4" w:space="0"/>
            </w:tcBorders>
            <w:vAlign w:val="center"/>
          </w:tcPr>
          <w:p w14:paraId="501D6649">
            <w:pPr>
              <w:autoSpaceDE w:val="0"/>
              <w:autoSpaceDN w:val="0"/>
              <w:adjustRightInd w:val="0"/>
              <w:snapToGrid w:val="0"/>
              <w:spacing w:line="360" w:lineRule="auto"/>
              <w:jc w:val="center"/>
              <w:textAlignment w:val="baseline"/>
              <w:outlineLvl w:val="1"/>
              <w:rPr>
                <w:rFonts w:hint="eastAsia" w:eastAsia="宋体"/>
                <w:sz w:val="18"/>
                <w:szCs w:val="18"/>
                <w:highlight w:val="yellow"/>
                <w:lang w:val="en-US" w:eastAsia="zh-CN"/>
              </w:rPr>
            </w:pPr>
            <w:r>
              <w:rPr>
                <w:sz w:val="18"/>
                <w:szCs w:val="18"/>
              </w:rPr>
              <w:t>工作电源</w:t>
            </w:r>
            <w:r>
              <w:rPr>
                <w:rFonts w:hint="eastAsia"/>
                <w:sz w:val="18"/>
                <w:szCs w:val="18"/>
                <w:lang w:val="en-US" w:eastAsia="zh-CN"/>
              </w:rPr>
              <w:t>-</w:t>
            </w:r>
          </w:p>
        </w:tc>
        <w:tc>
          <w:tcPr>
            <w:tcW w:w="1765" w:type="dxa"/>
            <w:vMerge w:val="continue"/>
            <w:tcBorders>
              <w:left w:val="single" w:color="auto" w:sz="4" w:space="0"/>
              <w:right w:val="single" w:color="auto" w:sz="4" w:space="0"/>
            </w:tcBorders>
            <w:vAlign w:val="center"/>
          </w:tcPr>
          <w:p w14:paraId="576F90C8">
            <w:pPr>
              <w:autoSpaceDE w:val="0"/>
              <w:autoSpaceDN w:val="0"/>
              <w:adjustRightInd w:val="0"/>
              <w:snapToGrid w:val="0"/>
              <w:spacing w:line="360" w:lineRule="auto"/>
              <w:jc w:val="center"/>
              <w:textAlignment w:val="baseline"/>
              <w:outlineLvl w:val="1"/>
              <w:rPr>
                <w:sz w:val="18"/>
                <w:szCs w:val="18"/>
                <w:highlight w:val="yellow"/>
              </w:rPr>
            </w:pPr>
          </w:p>
        </w:tc>
      </w:tr>
      <w:tr w14:paraId="25FCE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191632C2">
            <w:pPr>
              <w:autoSpaceDE w:val="0"/>
              <w:autoSpaceDN w:val="0"/>
              <w:adjustRightInd w:val="0"/>
              <w:snapToGrid w:val="0"/>
              <w:spacing w:line="360" w:lineRule="auto"/>
              <w:jc w:val="center"/>
              <w:textAlignment w:val="baseline"/>
              <w:outlineLvl w:val="1"/>
              <w:rPr>
                <w:rFonts w:hint="default" w:eastAsia="宋体"/>
                <w:sz w:val="18"/>
                <w:szCs w:val="18"/>
                <w:lang w:val="en-US" w:eastAsia="zh-CN"/>
              </w:rPr>
            </w:pPr>
            <w:r>
              <w:rPr>
                <w:rFonts w:hint="eastAsia"/>
                <w:sz w:val="18"/>
                <w:szCs w:val="18"/>
                <w:lang w:val="en-US" w:eastAsia="zh-CN"/>
              </w:rPr>
              <w:t>+V2</w:t>
            </w:r>
          </w:p>
        </w:tc>
        <w:tc>
          <w:tcPr>
            <w:tcW w:w="1775" w:type="dxa"/>
            <w:tcBorders>
              <w:right w:val="single" w:color="auto" w:sz="4" w:space="0"/>
            </w:tcBorders>
            <w:vAlign w:val="center"/>
          </w:tcPr>
          <w:p w14:paraId="7EEB9C2D">
            <w:pPr>
              <w:autoSpaceDE w:val="0"/>
              <w:autoSpaceDN w:val="0"/>
              <w:adjustRightInd w:val="0"/>
              <w:snapToGrid w:val="0"/>
              <w:spacing w:line="360" w:lineRule="auto"/>
              <w:jc w:val="center"/>
              <w:textAlignment w:val="baseline"/>
              <w:outlineLvl w:val="1"/>
              <w:rPr>
                <w:rFonts w:hint="eastAsia" w:eastAsia="宋体"/>
                <w:sz w:val="18"/>
                <w:szCs w:val="18"/>
                <w:highlight w:val="yellow"/>
                <w:lang w:val="en-US" w:eastAsia="zh-CN"/>
              </w:rPr>
            </w:pPr>
            <w:r>
              <w:rPr>
                <w:sz w:val="18"/>
                <w:szCs w:val="18"/>
              </w:rPr>
              <w:t>工作电源</w:t>
            </w:r>
            <w:r>
              <w:rPr>
                <w:rFonts w:hint="eastAsia"/>
                <w:sz w:val="18"/>
                <w:szCs w:val="18"/>
                <w:lang w:val="en-US" w:eastAsia="zh-CN"/>
              </w:rPr>
              <w:t>+</w:t>
            </w:r>
          </w:p>
        </w:tc>
        <w:tc>
          <w:tcPr>
            <w:tcW w:w="1765" w:type="dxa"/>
            <w:vMerge w:val="restart"/>
            <w:tcBorders>
              <w:left w:val="single" w:color="auto" w:sz="4" w:space="0"/>
              <w:right w:val="single" w:color="auto" w:sz="4" w:space="0"/>
            </w:tcBorders>
            <w:vAlign w:val="center"/>
          </w:tcPr>
          <w:p w14:paraId="0F5C1963">
            <w:pPr>
              <w:autoSpaceDE w:val="0"/>
              <w:autoSpaceDN w:val="0"/>
              <w:adjustRightInd w:val="0"/>
              <w:snapToGrid w:val="0"/>
              <w:spacing w:line="360" w:lineRule="auto"/>
              <w:jc w:val="center"/>
              <w:textAlignment w:val="baseline"/>
              <w:outlineLvl w:val="1"/>
              <w:rPr>
                <w:sz w:val="18"/>
                <w:szCs w:val="18"/>
                <w:highlight w:val="yellow"/>
              </w:rPr>
            </w:pPr>
            <w:r>
              <w:rPr>
                <w:rFonts w:hint="eastAsia"/>
                <w:sz w:val="18"/>
                <w:szCs w:val="18"/>
                <w:highlight w:val="none"/>
                <w:lang w:val="en-US" w:eastAsia="zh-CN"/>
              </w:rPr>
              <w:t>24V输出</w:t>
            </w:r>
          </w:p>
        </w:tc>
      </w:tr>
      <w:tr w14:paraId="56A43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5E39C4BF">
            <w:pPr>
              <w:autoSpaceDE w:val="0"/>
              <w:autoSpaceDN w:val="0"/>
              <w:adjustRightInd w:val="0"/>
              <w:snapToGrid w:val="0"/>
              <w:spacing w:line="360" w:lineRule="auto"/>
              <w:jc w:val="center"/>
              <w:textAlignment w:val="baseline"/>
              <w:outlineLvl w:val="1"/>
              <w:rPr>
                <w:rFonts w:hint="default" w:eastAsia="宋体"/>
                <w:sz w:val="18"/>
                <w:szCs w:val="18"/>
                <w:lang w:val="en-US" w:eastAsia="zh-CN"/>
              </w:rPr>
            </w:pPr>
            <w:r>
              <w:rPr>
                <w:rFonts w:hint="eastAsia"/>
                <w:sz w:val="18"/>
                <w:szCs w:val="18"/>
                <w:lang w:val="en-US" w:eastAsia="zh-CN"/>
              </w:rPr>
              <w:t>-V2</w:t>
            </w:r>
          </w:p>
        </w:tc>
        <w:tc>
          <w:tcPr>
            <w:tcW w:w="1775" w:type="dxa"/>
            <w:tcBorders>
              <w:right w:val="single" w:color="auto" w:sz="4" w:space="0"/>
            </w:tcBorders>
            <w:vAlign w:val="center"/>
          </w:tcPr>
          <w:p w14:paraId="096D386E">
            <w:pPr>
              <w:autoSpaceDE w:val="0"/>
              <w:autoSpaceDN w:val="0"/>
              <w:adjustRightInd w:val="0"/>
              <w:snapToGrid w:val="0"/>
              <w:spacing w:line="360" w:lineRule="auto"/>
              <w:jc w:val="center"/>
              <w:textAlignment w:val="baseline"/>
              <w:outlineLvl w:val="1"/>
              <w:rPr>
                <w:rFonts w:hint="eastAsia" w:eastAsia="宋体"/>
                <w:sz w:val="18"/>
                <w:szCs w:val="18"/>
                <w:highlight w:val="yellow"/>
                <w:lang w:val="en-US" w:eastAsia="zh-CN"/>
              </w:rPr>
            </w:pPr>
            <w:r>
              <w:rPr>
                <w:sz w:val="18"/>
                <w:szCs w:val="18"/>
              </w:rPr>
              <w:t>工作电源</w:t>
            </w:r>
            <w:r>
              <w:rPr>
                <w:rFonts w:hint="eastAsia"/>
                <w:sz w:val="18"/>
                <w:szCs w:val="18"/>
                <w:lang w:val="en-US" w:eastAsia="zh-CN"/>
              </w:rPr>
              <w:t>-</w:t>
            </w:r>
          </w:p>
        </w:tc>
        <w:tc>
          <w:tcPr>
            <w:tcW w:w="1765" w:type="dxa"/>
            <w:vMerge w:val="continue"/>
            <w:tcBorders>
              <w:left w:val="single" w:color="auto" w:sz="4" w:space="0"/>
              <w:right w:val="single" w:color="auto" w:sz="4" w:space="0"/>
            </w:tcBorders>
            <w:vAlign w:val="center"/>
          </w:tcPr>
          <w:p w14:paraId="59C5686E">
            <w:pPr>
              <w:autoSpaceDE w:val="0"/>
              <w:autoSpaceDN w:val="0"/>
              <w:adjustRightInd w:val="0"/>
              <w:snapToGrid w:val="0"/>
              <w:spacing w:line="360" w:lineRule="auto"/>
              <w:jc w:val="center"/>
              <w:textAlignment w:val="baseline"/>
              <w:outlineLvl w:val="1"/>
              <w:rPr>
                <w:sz w:val="18"/>
                <w:szCs w:val="18"/>
                <w:highlight w:val="yellow"/>
              </w:rPr>
            </w:pPr>
          </w:p>
        </w:tc>
      </w:tr>
      <w:tr w14:paraId="48615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0CB84066">
            <w:pPr>
              <w:autoSpaceDE w:val="0"/>
              <w:autoSpaceDN w:val="0"/>
              <w:adjustRightInd w:val="0"/>
              <w:snapToGrid w:val="0"/>
              <w:spacing w:line="360" w:lineRule="auto"/>
              <w:jc w:val="center"/>
              <w:textAlignment w:val="baseline"/>
              <w:outlineLvl w:val="1"/>
              <w:rPr>
                <w:rFonts w:hint="default" w:eastAsia="宋体"/>
                <w:sz w:val="18"/>
                <w:szCs w:val="18"/>
                <w:lang w:val="en-US" w:eastAsia="zh-CN"/>
              </w:rPr>
            </w:pPr>
            <w:r>
              <w:rPr>
                <w:rFonts w:hint="eastAsia"/>
                <w:sz w:val="18"/>
                <w:szCs w:val="18"/>
                <w:lang w:val="en-US" w:eastAsia="zh-CN"/>
              </w:rPr>
              <w:t>+V3</w:t>
            </w:r>
          </w:p>
        </w:tc>
        <w:tc>
          <w:tcPr>
            <w:tcW w:w="1775" w:type="dxa"/>
            <w:tcBorders>
              <w:right w:val="single" w:color="auto" w:sz="4" w:space="0"/>
            </w:tcBorders>
            <w:vAlign w:val="center"/>
          </w:tcPr>
          <w:p w14:paraId="506134C7">
            <w:pPr>
              <w:autoSpaceDE w:val="0"/>
              <w:autoSpaceDN w:val="0"/>
              <w:adjustRightInd w:val="0"/>
              <w:snapToGrid w:val="0"/>
              <w:spacing w:line="360" w:lineRule="auto"/>
              <w:jc w:val="center"/>
              <w:textAlignment w:val="baseline"/>
              <w:outlineLvl w:val="1"/>
              <w:rPr>
                <w:rFonts w:hint="eastAsia" w:eastAsia="宋体"/>
                <w:sz w:val="18"/>
                <w:szCs w:val="18"/>
                <w:lang w:val="en-US" w:eastAsia="zh-CN"/>
              </w:rPr>
            </w:pPr>
            <w:r>
              <w:rPr>
                <w:sz w:val="18"/>
                <w:szCs w:val="18"/>
              </w:rPr>
              <w:t>工作电源</w:t>
            </w:r>
            <w:r>
              <w:rPr>
                <w:rFonts w:hint="eastAsia"/>
                <w:sz w:val="18"/>
                <w:szCs w:val="18"/>
                <w:lang w:val="en-US" w:eastAsia="zh-CN"/>
              </w:rPr>
              <w:t>+</w:t>
            </w:r>
          </w:p>
        </w:tc>
        <w:tc>
          <w:tcPr>
            <w:tcW w:w="1765" w:type="dxa"/>
            <w:vMerge w:val="restart"/>
            <w:tcBorders>
              <w:left w:val="single" w:color="auto" w:sz="4" w:space="0"/>
              <w:right w:val="single" w:color="auto" w:sz="4" w:space="0"/>
            </w:tcBorders>
            <w:vAlign w:val="center"/>
          </w:tcPr>
          <w:p w14:paraId="0D8B665E">
            <w:pPr>
              <w:autoSpaceDE w:val="0"/>
              <w:autoSpaceDN w:val="0"/>
              <w:adjustRightInd w:val="0"/>
              <w:snapToGrid w:val="0"/>
              <w:spacing w:line="360" w:lineRule="auto"/>
              <w:jc w:val="center"/>
              <w:textAlignment w:val="baseline"/>
              <w:outlineLvl w:val="1"/>
              <w:rPr>
                <w:sz w:val="18"/>
                <w:szCs w:val="18"/>
                <w:highlight w:val="yellow"/>
              </w:rPr>
            </w:pPr>
            <w:r>
              <w:rPr>
                <w:rFonts w:hint="eastAsia"/>
                <w:sz w:val="18"/>
                <w:szCs w:val="18"/>
                <w:highlight w:val="none"/>
                <w:lang w:val="en-US" w:eastAsia="zh-CN"/>
              </w:rPr>
              <w:t>5V输出</w:t>
            </w:r>
          </w:p>
        </w:tc>
      </w:tr>
      <w:tr w14:paraId="593B1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0263C452">
            <w:pPr>
              <w:autoSpaceDE w:val="0"/>
              <w:autoSpaceDN w:val="0"/>
              <w:adjustRightInd w:val="0"/>
              <w:snapToGrid w:val="0"/>
              <w:spacing w:line="360" w:lineRule="auto"/>
              <w:jc w:val="center"/>
              <w:textAlignment w:val="baseline"/>
              <w:outlineLvl w:val="1"/>
              <w:rPr>
                <w:rFonts w:hint="default" w:eastAsia="宋体"/>
                <w:sz w:val="18"/>
                <w:szCs w:val="18"/>
                <w:lang w:val="en-US" w:eastAsia="zh-CN"/>
              </w:rPr>
            </w:pPr>
            <w:r>
              <w:rPr>
                <w:rFonts w:hint="eastAsia"/>
                <w:sz w:val="18"/>
                <w:szCs w:val="18"/>
                <w:lang w:val="en-US" w:eastAsia="zh-CN"/>
              </w:rPr>
              <w:t>-V3</w:t>
            </w:r>
          </w:p>
        </w:tc>
        <w:tc>
          <w:tcPr>
            <w:tcW w:w="1775" w:type="dxa"/>
            <w:tcBorders>
              <w:right w:val="single" w:color="auto" w:sz="4" w:space="0"/>
            </w:tcBorders>
            <w:vAlign w:val="center"/>
          </w:tcPr>
          <w:p w14:paraId="6DD7B4F7">
            <w:pPr>
              <w:autoSpaceDE w:val="0"/>
              <w:autoSpaceDN w:val="0"/>
              <w:adjustRightInd w:val="0"/>
              <w:snapToGrid w:val="0"/>
              <w:spacing w:line="360" w:lineRule="auto"/>
              <w:jc w:val="center"/>
              <w:textAlignment w:val="baseline"/>
              <w:outlineLvl w:val="1"/>
              <w:rPr>
                <w:rFonts w:hint="eastAsia" w:eastAsia="宋体"/>
                <w:sz w:val="18"/>
                <w:szCs w:val="18"/>
                <w:highlight w:val="yellow"/>
                <w:lang w:eastAsia="zh-CN"/>
              </w:rPr>
            </w:pPr>
            <w:r>
              <w:rPr>
                <w:sz w:val="18"/>
                <w:szCs w:val="18"/>
              </w:rPr>
              <w:t>工作电源</w:t>
            </w:r>
            <w:r>
              <w:rPr>
                <w:rFonts w:hint="eastAsia"/>
                <w:sz w:val="18"/>
                <w:szCs w:val="18"/>
                <w:lang w:val="en-US" w:eastAsia="zh-CN"/>
              </w:rPr>
              <w:t>-</w:t>
            </w:r>
          </w:p>
        </w:tc>
        <w:tc>
          <w:tcPr>
            <w:tcW w:w="1765" w:type="dxa"/>
            <w:vMerge w:val="continue"/>
            <w:tcBorders>
              <w:left w:val="single" w:color="auto" w:sz="4" w:space="0"/>
              <w:bottom w:val="single" w:color="auto" w:sz="4" w:space="0"/>
              <w:right w:val="single" w:color="auto" w:sz="4" w:space="0"/>
            </w:tcBorders>
            <w:vAlign w:val="center"/>
          </w:tcPr>
          <w:p w14:paraId="628613E8">
            <w:pPr>
              <w:autoSpaceDE w:val="0"/>
              <w:autoSpaceDN w:val="0"/>
              <w:adjustRightInd w:val="0"/>
              <w:snapToGrid w:val="0"/>
              <w:spacing w:line="360" w:lineRule="auto"/>
              <w:jc w:val="center"/>
              <w:textAlignment w:val="baseline"/>
              <w:outlineLvl w:val="1"/>
              <w:rPr>
                <w:sz w:val="18"/>
                <w:szCs w:val="18"/>
                <w:highlight w:val="yellow"/>
              </w:rPr>
            </w:pPr>
          </w:p>
        </w:tc>
      </w:tr>
    </w:tbl>
    <w:p w14:paraId="30E0F0CE">
      <w:pPr>
        <w:pStyle w:val="60"/>
      </w:pPr>
    </w:p>
    <w:p w14:paraId="5F791CEE">
      <w:pPr>
        <w:pStyle w:val="60"/>
      </w:pPr>
      <w:r>
        <w:t>5.</w:t>
      </w:r>
      <w:r>
        <w:rPr>
          <w:rFonts w:hint="eastAsia"/>
          <w:lang w:val="en-US" w:eastAsia="zh-CN"/>
        </w:rPr>
        <w:t>6</w:t>
      </w:r>
      <w:r>
        <w:rPr>
          <w:rFonts w:hint="eastAsia"/>
        </w:rPr>
        <w:t>　标志、包装、运输</w:t>
      </w:r>
      <w:bookmarkEnd w:id="8"/>
      <w:bookmarkEnd w:id="9"/>
      <w:r>
        <w:rPr>
          <w:rFonts w:hint="eastAsia"/>
        </w:rPr>
        <w:t>、贮存</w:t>
      </w:r>
      <w:bookmarkEnd w:id="10"/>
      <w:bookmarkEnd w:id="11"/>
      <w:bookmarkEnd w:id="12"/>
      <w:r>
        <w:rPr>
          <w:rFonts w:hint="eastAsia"/>
        </w:rPr>
        <w:t>及铭牌</w:t>
      </w:r>
    </w:p>
    <w:p w14:paraId="4DDD0AD3">
      <w:pPr>
        <w:pStyle w:val="60"/>
      </w:pPr>
      <w:bookmarkStart w:id="13" w:name="_Toc363243290"/>
      <w:bookmarkStart w:id="14" w:name="_Toc363381651"/>
      <w:r>
        <w:t>5.</w:t>
      </w:r>
      <w:r>
        <w:rPr>
          <w:rFonts w:hint="eastAsia"/>
          <w:lang w:val="en-US" w:eastAsia="zh-CN"/>
        </w:rPr>
        <w:t>6</w:t>
      </w:r>
      <w:r>
        <w:t>.1</w:t>
      </w:r>
      <w:r>
        <w:rPr>
          <w:rFonts w:hint="eastAsia"/>
        </w:rPr>
        <w:t>标志</w:t>
      </w:r>
      <w:bookmarkEnd w:id="13"/>
      <w:bookmarkEnd w:id="14"/>
    </w:p>
    <w:p w14:paraId="1CA58763">
      <w:pPr>
        <w:topLinePunct/>
        <w:spacing w:line="312" w:lineRule="exact"/>
        <w:ind w:firstLine="420"/>
        <w:rPr>
          <w:szCs w:val="21"/>
        </w:rPr>
      </w:pPr>
      <w:r>
        <w:rPr>
          <w:rFonts w:hint="eastAsia"/>
          <w:szCs w:val="21"/>
        </w:rPr>
        <w:t>投标人应对货物包装进行完善的标志，以便招标人接收货物；投标人应妥善考虑货物的包装、运输，招标人在接收货物时会进行货物包装、元件外观的进厂检验、且为完全检验，因包装、运输不完善造成的元件损伤，招标方有权要求投标方进行无条件更换。</w:t>
      </w:r>
    </w:p>
    <w:p w14:paraId="0F973DF7">
      <w:pPr>
        <w:pStyle w:val="60"/>
      </w:pPr>
      <w:bookmarkStart w:id="15" w:name="_Toc363381652"/>
      <w:bookmarkStart w:id="16" w:name="_Toc363243291"/>
      <w:bookmarkStart w:id="17" w:name="_Toc358552377"/>
      <w:bookmarkStart w:id="18" w:name="_Toc358552339"/>
      <w:r>
        <w:t>5.</w:t>
      </w:r>
      <w:r>
        <w:rPr>
          <w:rFonts w:hint="eastAsia"/>
          <w:lang w:val="en-US" w:eastAsia="zh-CN"/>
        </w:rPr>
        <w:t>6</w:t>
      </w:r>
      <w:r>
        <w:t>.2</w:t>
      </w:r>
      <w:r>
        <w:rPr>
          <w:rFonts w:hint="eastAsia"/>
        </w:rPr>
        <w:t>铭牌</w:t>
      </w:r>
      <w:bookmarkEnd w:id="15"/>
      <w:bookmarkEnd w:id="16"/>
      <w:bookmarkEnd w:id="17"/>
      <w:bookmarkEnd w:id="18"/>
    </w:p>
    <w:p w14:paraId="205C062A">
      <w:pPr>
        <w:topLinePunct/>
        <w:spacing w:line="312" w:lineRule="exact"/>
        <w:ind w:firstLine="420"/>
        <w:rPr>
          <w:szCs w:val="21"/>
        </w:rPr>
      </w:pPr>
      <w:r>
        <w:rPr>
          <w:rFonts w:hint="eastAsia"/>
          <w:szCs w:val="21"/>
        </w:rPr>
        <w:t>每台装置应配备铭牌，铭牌应字迹清晰，安装应坚固、耐久，其位置应该是在装置安装好后，易于看见的地方。</w:t>
      </w:r>
    </w:p>
    <w:p w14:paraId="1430A10A">
      <w:pPr>
        <w:topLinePunct/>
        <w:spacing w:line="312" w:lineRule="exact"/>
        <w:ind w:firstLine="420"/>
        <w:rPr>
          <w:szCs w:val="21"/>
        </w:rPr>
      </w:pPr>
      <w:r>
        <w:rPr>
          <w:szCs w:val="21"/>
        </w:rPr>
        <w:t>a)</w:t>
      </w:r>
      <w:r>
        <w:rPr>
          <w:rFonts w:hint="eastAsia"/>
          <w:szCs w:val="21"/>
        </w:rPr>
        <w:t>制造商（生产厂）或商标；</w:t>
      </w:r>
    </w:p>
    <w:p w14:paraId="19538E1F">
      <w:pPr>
        <w:topLinePunct/>
        <w:spacing w:line="312" w:lineRule="exact"/>
        <w:ind w:firstLine="420"/>
        <w:rPr>
          <w:szCs w:val="21"/>
        </w:rPr>
      </w:pPr>
      <w:r>
        <w:rPr>
          <w:szCs w:val="21"/>
        </w:rPr>
        <w:t>b)</w:t>
      </w:r>
      <w:r>
        <w:rPr>
          <w:rFonts w:hint="eastAsia"/>
          <w:szCs w:val="21"/>
        </w:rPr>
        <w:t>型号或其他标记，据此可以从制造商得到有关的资料；</w:t>
      </w:r>
    </w:p>
    <w:p w14:paraId="73B0E950">
      <w:pPr>
        <w:topLinePunct/>
        <w:spacing w:line="312" w:lineRule="exact"/>
        <w:ind w:firstLine="420"/>
        <w:rPr>
          <w:szCs w:val="21"/>
        </w:rPr>
      </w:pPr>
      <w:r>
        <w:rPr>
          <w:szCs w:val="21"/>
        </w:rPr>
        <w:t>c)</w:t>
      </w:r>
      <w:r>
        <w:rPr>
          <w:rFonts w:hint="eastAsia"/>
          <w:szCs w:val="21"/>
        </w:rPr>
        <w:t>执行标准；</w:t>
      </w:r>
    </w:p>
    <w:p w14:paraId="790252C2">
      <w:pPr>
        <w:topLinePunct/>
        <w:spacing w:line="312" w:lineRule="exact"/>
        <w:ind w:firstLine="420"/>
        <w:rPr>
          <w:szCs w:val="21"/>
        </w:rPr>
      </w:pPr>
      <w:r>
        <w:rPr>
          <w:szCs w:val="21"/>
        </w:rPr>
        <w:t>d)</w:t>
      </w:r>
      <w:r>
        <w:rPr>
          <w:rFonts w:hint="eastAsia"/>
          <w:szCs w:val="21"/>
        </w:rPr>
        <w:t>制造日期；</w:t>
      </w:r>
    </w:p>
    <w:p w14:paraId="220C3636">
      <w:pPr>
        <w:topLinePunct/>
        <w:spacing w:line="312" w:lineRule="exact"/>
        <w:ind w:firstLine="420"/>
        <w:rPr>
          <w:szCs w:val="21"/>
        </w:rPr>
      </w:pPr>
      <w:r>
        <w:rPr>
          <w:szCs w:val="21"/>
        </w:rPr>
        <w:t>e)</w:t>
      </w:r>
      <w:r>
        <w:rPr>
          <w:rFonts w:hint="eastAsia"/>
          <w:szCs w:val="21"/>
        </w:rPr>
        <w:t>出厂编号；</w:t>
      </w:r>
    </w:p>
    <w:p w14:paraId="70E3DD75">
      <w:pPr>
        <w:topLinePunct/>
        <w:spacing w:line="312" w:lineRule="exact"/>
        <w:ind w:firstLine="420"/>
        <w:rPr>
          <w:szCs w:val="21"/>
        </w:rPr>
      </w:pPr>
      <w:r>
        <w:rPr>
          <w:szCs w:val="21"/>
        </w:rPr>
        <w:t>h)</w:t>
      </w:r>
      <w:r>
        <w:rPr>
          <w:rFonts w:hint="eastAsia"/>
          <w:szCs w:val="21"/>
        </w:rPr>
        <w:t>额定绝缘水平；</w:t>
      </w:r>
    </w:p>
    <w:p w14:paraId="661E0835">
      <w:pPr>
        <w:pStyle w:val="61"/>
        <w:outlineLvl w:val="0"/>
      </w:pPr>
      <w:bookmarkStart w:id="19" w:name="_Toc438720046"/>
      <w:r>
        <w:rPr>
          <w:rFonts w:hint="eastAsia"/>
        </w:rPr>
        <w:t>6　试验</w:t>
      </w:r>
      <w:bookmarkEnd w:id="19"/>
    </w:p>
    <w:p w14:paraId="689F8701">
      <w:pPr>
        <w:topLinePunct/>
        <w:spacing w:line="312" w:lineRule="exact"/>
        <w:rPr>
          <w:bCs/>
          <w:szCs w:val="21"/>
        </w:rPr>
      </w:pPr>
      <w:r>
        <w:rPr>
          <w:rFonts w:hint="eastAsia" w:ascii="EU-F1" w:eastAsia="黑体"/>
          <w:szCs w:val="21"/>
        </w:rPr>
        <w:t>6.1</w:t>
      </w:r>
      <w:r>
        <w:rPr>
          <w:bCs/>
          <w:szCs w:val="21"/>
        </w:rPr>
        <w:t xml:space="preserve">  </w:t>
      </w:r>
      <w:r>
        <w:rPr>
          <w:rFonts w:hint="eastAsia"/>
          <w:bCs/>
          <w:szCs w:val="21"/>
        </w:rPr>
        <w:t>根据国家标准（</w:t>
      </w:r>
      <w:r>
        <w:rPr>
          <w:bCs/>
          <w:szCs w:val="21"/>
        </w:rPr>
        <w:t>GB</w:t>
      </w:r>
      <w:r>
        <w:rPr>
          <w:rFonts w:hint="eastAsia"/>
          <w:bCs/>
          <w:szCs w:val="21"/>
        </w:rPr>
        <w:t>）、电力行业标准（</w:t>
      </w:r>
      <w:r>
        <w:rPr>
          <w:bCs/>
          <w:szCs w:val="21"/>
        </w:rPr>
        <w:t>DL</w:t>
      </w:r>
      <w:r>
        <w:rPr>
          <w:rFonts w:hint="eastAsia"/>
          <w:bCs/>
          <w:szCs w:val="21"/>
        </w:rPr>
        <w:t>）或国家电网公司企业标准进行试验。试验中，要遵循并执行下列附加要求，并应提供供货范围内主要元件的型式试验和出厂试验报告。</w:t>
      </w:r>
    </w:p>
    <w:p w14:paraId="3A30D753">
      <w:pPr>
        <w:topLinePunct/>
        <w:spacing w:line="312" w:lineRule="exact"/>
        <w:rPr>
          <w:snapToGrid w:val="0"/>
          <w:szCs w:val="21"/>
        </w:rPr>
      </w:pPr>
      <w:r>
        <w:rPr>
          <w:rFonts w:hint="eastAsia" w:ascii="EU-F1" w:eastAsia="黑体"/>
          <w:szCs w:val="21"/>
        </w:rPr>
        <w:t>6.2</w:t>
      </w:r>
      <w:r>
        <w:rPr>
          <w:bCs/>
          <w:szCs w:val="21"/>
        </w:rPr>
        <w:t xml:space="preserve">  </w:t>
      </w:r>
      <w:r>
        <w:rPr>
          <w:rFonts w:hint="eastAsia"/>
          <w:snapToGrid w:val="0"/>
          <w:szCs w:val="21"/>
        </w:rPr>
        <w:t>现场交接试验应符合标准的要求。</w:t>
      </w:r>
    </w:p>
    <w:p w14:paraId="1B4B6829">
      <w:pPr>
        <w:topLinePunct/>
        <w:spacing w:line="312" w:lineRule="exact"/>
        <w:rPr>
          <w:snapToGrid w:val="0"/>
          <w:szCs w:val="21"/>
        </w:rPr>
      </w:pPr>
      <w:r>
        <w:rPr>
          <w:rFonts w:hint="eastAsia" w:ascii="EU-F1" w:eastAsia="黑体"/>
          <w:szCs w:val="21"/>
        </w:rPr>
        <w:t xml:space="preserve">6.3 </w:t>
      </w:r>
      <w:r>
        <w:rPr>
          <w:snapToGrid w:val="0"/>
          <w:szCs w:val="21"/>
        </w:rPr>
        <w:t xml:space="preserve"> </w:t>
      </w:r>
      <w:r>
        <w:rPr>
          <w:rFonts w:hint="eastAsia"/>
          <w:bCs/>
          <w:szCs w:val="21"/>
        </w:rPr>
        <w:t>抽检试验由招标方委托第三方检验机构完成。</w:t>
      </w:r>
    </w:p>
    <w:p w14:paraId="7D174DBC">
      <w:pPr>
        <w:pStyle w:val="60"/>
      </w:pPr>
      <w:r>
        <w:rPr>
          <w:rFonts w:hint="eastAsia"/>
        </w:rPr>
        <w:t>6</w:t>
      </w:r>
      <w:r>
        <w:rPr>
          <w:rFonts w:hint="eastAsia"/>
          <w:spacing w:val="20"/>
        </w:rPr>
        <w:t>.</w:t>
      </w:r>
      <w:r>
        <w:rPr>
          <w:rFonts w:hint="eastAsia"/>
        </w:rPr>
        <w:t>4　出厂试验</w:t>
      </w:r>
    </w:p>
    <w:p w14:paraId="6684FA63">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rPr>
        <w:t>4</w:t>
      </w:r>
      <w:r>
        <w:rPr>
          <w:rFonts w:hint="eastAsia" w:ascii="EU-F1"/>
          <w:snapToGrid w:val="0"/>
          <w:spacing w:val="20"/>
          <w:szCs w:val="21"/>
        </w:rPr>
        <w:t>.</w:t>
      </w:r>
      <w:r>
        <w:rPr>
          <w:rFonts w:hint="eastAsia" w:ascii="EU-F1"/>
          <w:snapToGrid w:val="0"/>
          <w:szCs w:val="21"/>
        </w:rPr>
        <w:t>1　</w:t>
      </w:r>
      <w:r>
        <w:rPr>
          <w:rFonts w:hint="eastAsia"/>
          <w:snapToGrid w:val="0"/>
          <w:szCs w:val="21"/>
        </w:rPr>
        <w:t>每一台产品在出厂时都应进行出厂试验，均应按相应的标准通过出厂试验。</w:t>
      </w:r>
    </w:p>
    <w:p w14:paraId="61689753">
      <w:pPr>
        <w:pStyle w:val="60"/>
        <w:rPr>
          <w:rFonts w:ascii="黑体" w:hAnsi="黑体"/>
          <w:snapToGrid w:val="0"/>
        </w:rPr>
      </w:pPr>
      <w:r>
        <w:rPr>
          <w:rFonts w:hint="eastAsia" w:ascii="黑体" w:hAnsi="黑体"/>
          <w:snapToGrid w:val="0"/>
        </w:rPr>
        <w:t>6</w:t>
      </w:r>
      <w:r>
        <w:rPr>
          <w:rFonts w:hint="eastAsia" w:ascii="黑体" w:hAnsi="黑体"/>
          <w:snapToGrid w:val="0"/>
          <w:spacing w:val="20"/>
        </w:rPr>
        <w:t>.</w:t>
      </w:r>
      <w:r>
        <w:rPr>
          <w:rFonts w:hint="eastAsia" w:ascii="黑体" w:hAnsi="黑体"/>
          <w:snapToGrid w:val="0"/>
        </w:rPr>
        <w:t>5　抽检试验</w:t>
      </w:r>
    </w:p>
    <w:p w14:paraId="061C8FF1">
      <w:pPr>
        <w:topLinePunct/>
        <w:spacing w:line="312" w:lineRule="exact"/>
        <w:rPr>
          <w:szCs w:val="21"/>
        </w:rPr>
      </w:pPr>
      <w:r>
        <w:rPr>
          <w:rFonts w:hint="eastAsia" w:ascii="黑体" w:hAnsi="黑体" w:eastAsia="黑体"/>
          <w:snapToGrid w:val="0"/>
          <w:color w:val="000000"/>
          <w:kern w:val="44"/>
          <w:szCs w:val="21"/>
        </w:rPr>
        <w:t>6.5.1</w:t>
      </w:r>
      <w:r>
        <w:rPr>
          <w:rFonts w:hint="eastAsia" w:ascii="EU-F1"/>
          <w:szCs w:val="21"/>
        </w:rPr>
        <w:t>　</w:t>
      </w:r>
      <w:r>
        <w:rPr>
          <w:rFonts w:hint="eastAsia"/>
          <w:szCs w:val="21"/>
        </w:rPr>
        <w:t>招标人有权对正在制造或制造完毕的产品，选择一定数量，进行抽样检测，检测产品质量或验证供应商试验的真实性，投标人应配合买方做好抽样检测。抽样检测采用随机抽样的方式进行，抽样比例由采购方根据每次具体采购数量按抽样检测规定及采购方的要求确定。采购方派专人到供货方现场或仓库随机封样，供货方按采购方要求将封样后的产品送到采购方指定的专业实验室进行检测，检测方将检测结果报采购方审核确定，检测费用由投标人承担。</w:t>
      </w:r>
    </w:p>
    <w:p w14:paraId="050C5852">
      <w:pPr>
        <w:topLinePunct/>
        <w:spacing w:line="312" w:lineRule="exact"/>
      </w:pPr>
      <w:r>
        <w:rPr>
          <w:rFonts w:hint="eastAsia" w:ascii="黑体" w:hAnsi="黑体" w:eastAsia="黑体"/>
          <w:snapToGrid w:val="0"/>
          <w:color w:val="000000"/>
          <w:kern w:val="44"/>
          <w:szCs w:val="21"/>
        </w:rPr>
        <w:t>6.5.2</w:t>
      </w:r>
      <w:r>
        <w:rPr>
          <w:rFonts w:hint="eastAsia" w:ascii="EU-F1"/>
          <w:szCs w:val="21"/>
        </w:rPr>
        <w:t>　</w:t>
      </w:r>
      <w:r>
        <w:rPr>
          <w:rFonts w:hint="eastAsia"/>
          <w:szCs w:val="21"/>
        </w:rPr>
        <w:t>采购方将根据每次抽检质量情况，建立产品质量信誉库，若供货方的封样产品经抽样检测不符合采购方技术规范的要求，采购方可以拒收本批次产品，并降低供货方质量信誉等级。</w:t>
      </w:r>
      <w:bookmarkStart w:id="20" w:name="_Toc438720047"/>
    </w:p>
    <w:p w14:paraId="60A10CB7">
      <w:pPr>
        <w:pStyle w:val="61"/>
        <w:outlineLvl w:val="0"/>
      </w:pPr>
      <w:r>
        <w:rPr>
          <w:rFonts w:hint="eastAsia"/>
        </w:rPr>
        <w:t>7　技术服务、工厂检验</w:t>
      </w:r>
      <w:bookmarkEnd w:id="20"/>
    </w:p>
    <w:p w14:paraId="4AC9B01C">
      <w:pPr>
        <w:pStyle w:val="60"/>
      </w:pPr>
      <w:r>
        <w:rPr>
          <w:rFonts w:hint="eastAsia"/>
        </w:rPr>
        <w:t>7</w:t>
      </w:r>
      <w:r>
        <w:rPr>
          <w:rFonts w:hint="eastAsia"/>
          <w:spacing w:val="20"/>
        </w:rPr>
        <w:t>.</w:t>
      </w:r>
      <w:r>
        <w:rPr>
          <w:rFonts w:hint="eastAsia"/>
        </w:rPr>
        <w:t>1　技术服务</w:t>
      </w:r>
    </w:p>
    <w:p w14:paraId="2831E251">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1　</w:t>
      </w:r>
      <w:r>
        <w:rPr>
          <w:rFonts w:hint="eastAsia"/>
          <w:snapToGrid w:val="0"/>
          <w:szCs w:val="21"/>
        </w:rPr>
        <w:t>概述：</w:t>
      </w:r>
    </w:p>
    <w:p w14:paraId="4F3011D5">
      <w:pPr>
        <w:ind w:left="840" w:hanging="420"/>
      </w:pPr>
      <w:r>
        <w:t>a</w:t>
      </w:r>
      <w:r>
        <w:rPr>
          <w:rFonts w:hint="eastAsia"/>
        </w:rPr>
        <w:t>）</w:t>
      </w:r>
      <w:r>
        <w:tab/>
      </w:r>
      <w:r>
        <w:rPr>
          <w:rFonts w:hint="eastAsia"/>
        </w:rPr>
        <w:t>投标人应指派有经验的工程师，对合同设备的安装、调试和现场试验等进行技术指导。投标人指导人员应对所有安装工作的正确性负责，除非安装承包商的工作未按照卖方指导人员的意见执行，但是，投标人指导人员应立即以书面形式将此情况通知招标人。</w:t>
      </w:r>
    </w:p>
    <w:p w14:paraId="24AEA970">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2　</w:t>
      </w:r>
      <w:r>
        <w:rPr>
          <w:rFonts w:hint="eastAsia"/>
          <w:snapToGrid w:val="0"/>
          <w:szCs w:val="21"/>
        </w:rPr>
        <w:t>任务和责任：</w:t>
      </w:r>
    </w:p>
    <w:p w14:paraId="23B838DC">
      <w:pPr>
        <w:ind w:left="840" w:hanging="420"/>
      </w:pPr>
      <w:r>
        <w:t>a</w:t>
      </w:r>
      <w:r>
        <w:rPr>
          <w:rFonts w:hint="eastAsia"/>
        </w:rPr>
        <w:t>）</w:t>
      </w:r>
      <w:r>
        <w:tab/>
      </w:r>
      <w:r>
        <w:rPr>
          <w:rFonts w:hint="eastAsia"/>
        </w:rPr>
        <w:t>投标人技术人员应按合同规定完成有关设备的技术服务，指导设备的安装、调试。</w:t>
      </w:r>
    </w:p>
    <w:p w14:paraId="6DAD7E9F">
      <w:pPr>
        <w:ind w:left="840" w:hanging="420"/>
      </w:pPr>
      <w:r>
        <w:t>b</w:t>
      </w:r>
      <w:r>
        <w:rPr>
          <w:rFonts w:hint="eastAsia"/>
        </w:rPr>
        <w:t>）</w:t>
      </w:r>
      <w:r>
        <w:tab/>
      </w:r>
      <w:r>
        <w:rPr>
          <w:rFonts w:hint="eastAsia"/>
        </w:rPr>
        <w:t>投标人技术人员应对招标人人员详细地解释技术文件、图纸、运行和维护手册、设备特性、分析方法和有关的注意事项等，以及解答和解决招标人在合同范围内提出的技术问题。</w:t>
      </w:r>
    </w:p>
    <w:p w14:paraId="642F4316">
      <w:pPr>
        <w:ind w:left="840" w:hanging="420"/>
      </w:pPr>
      <w:r>
        <w:t>c</w:t>
      </w:r>
      <w:r>
        <w:rPr>
          <w:rFonts w:hint="eastAsia"/>
        </w:rPr>
        <w:t>）</w:t>
      </w:r>
      <w:r>
        <w:tab/>
      </w:r>
      <w:r>
        <w:rPr>
          <w:rFonts w:hint="eastAsia"/>
        </w:rPr>
        <w:t>投标人技术人员有义务协助招标人在现场对运行和维护的人员进行必要的培训。</w:t>
      </w:r>
    </w:p>
    <w:p w14:paraId="4B054B27">
      <w:pPr>
        <w:ind w:left="840" w:hanging="420"/>
      </w:pPr>
      <w:r>
        <w:t>d</w:t>
      </w:r>
      <w:r>
        <w:rPr>
          <w:rFonts w:hint="eastAsia"/>
        </w:rPr>
        <w:t>）</w:t>
      </w:r>
      <w:r>
        <w:tab/>
      </w:r>
      <w:r>
        <w:rPr>
          <w:rFonts w:hint="eastAsia"/>
        </w:rPr>
        <w:t>投标人技术人员的技术指导应是正确的，如因错误指导而引起设备和材料的损坏，投标人应负责修复、更换和（或）补充，费用由投标人承担，该费用中还包括进行修补期间所发生的服务费。招标人的有关技术人员应尊重卖方技术人员的技术指导。</w:t>
      </w:r>
    </w:p>
    <w:p w14:paraId="71AF48E8">
      <w:pPr>
        <w:ind w:left="840" w:hanging="420"/>
      </w:pPr>
      <w:r>
        <w:t>e</w:t>
      </w:r>
      <w:r>
        <w:rPr>
          <w:rFonts w:hint="eastAsia"/>
        </w:rPr>
        <w:t>）</w:t>
      </w:r>
      <w:r>
        <w:tab/>
      </w:r>
      <w:r>
        <w:rPr>
          <w:rFonts w:hint="eastAsia"/>
        </w:rPr>
        <w:t>投标人代表应充分理解招标人对安装、调试工作提出的技术和质量方面的意见和建议，使设备的安装、调试达到双方都满意的质量。</w:t>
      </w:r>
      <w:bookmarkStart w:id="21" w:name="_Toc327369532"/>
    </w:p>
    <w:bookmarkEnd w:id="21"/>
    <w:p w14:paraId="2E2B8CD5">
      <w:pPr>
        <w:pStyle w:val="60"/>
      </w:pPr>
      <w:r>
        <w:rPr>
          <w:rFonts w:hint="eastAsia"/>
        </w:rPr>
        <w:t>7</w:t>
      </w:r>
      <w:r>
        <w:rPr>
          <w:rFonts w:hint="eastAsia"/>
          <w:spacing w:val="20"/>
        </w:rPr>
        <w:t>.</w:t>
      </w:r>
      <w:r>
        <w:rPr>
          <w:rFonts w:hint="eastAsia"/>
        </w:rPr>
        <w:t>2　</w:t>
      </w:r>
      <w:r>
        <w:rPr>
          <w:rFonts w:hint="eastAsia"/>
          <w:snapToGrid w:val="0"/>
        </w:rPr>
        <w:t>工厂检验</w:t>
      </w:r>
    </w:p>
    <w:p w14:paraId="34F5E25A">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1　</w:t>
      </w:r>
      <w:r>
        <w:rPr>
          <w:rFonts w:hint="eastAsia"/>
          <w:snapToGrid w:val="0"/>
          <w:szCs w:val="21"/>
        </w:rPr>
        <w:t>招标人有权派遣其检验人员到投标人的车间场所，对合同设备的加工制造进行检验。</w:t>
      </w:r>
    </w:p>
    <w:p w14:paraId="1096FB3D">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2　</w:t>
      </w:r>
      <w:r>
        <w:rPr>
          <w:rFonts w:hint="eastAsia"/>
          <w:snapToGrid w:val="0"/>
          <w:szCs w:val="21"/>
        </w:rPr>
        <w:t>如经检验和试验有不符合技术规范的合同设备，招标人可以拒收，投标人应无偿给予更换。</w:t>
      </w:r>
    </w:p>
    <w:p w14:paraId="4D81505C">
      <w:pPr>
        <w:topLinePunct/>
        <w:spacing w:line="312" w:lineRule="exact"/>
        <w:rPr>
          <w:rFonts w:ascii="宋体" w:hAnsi="宋体"/>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3　</w:t>
      </w:r>
      <w:r>
        <w:rPr>
          <w:rFonts w:hint="eastAsia" w:ascii="宋体" w:hAnsi="宋体"/>
          <w:snapToGrid w:val="0"/>
          <w:szCs w:val="21"/>
        </w:rPr>
        <w:t>合同设备运到招标人后，招标人有进行检验、试验和拒收（如果必要时）的权力，不得因该合同设备在原产地发运以前已经由招标人或其代表进行过检验并已通过作为理由而受到限制。投标人应在开始进行工厂试验前</w:t>
      </w:r>
      <w:r>
        <w:rPr>
          <w:rFonts w:hint="eastAsia" w:ascii="宋体" w:hAnsi="宋体"/>
          <w:snapToGrid w:val="0"/>
          <w:szCs w:val="21"/>
          <w:u w:val="single"/>
        </w:rPr>
        <w:t>　30　</w:t>
      </w:r>
      <w:r>
        <w:rPr>
          <w:rFonts w:hint="eastAsia" w:ascii="宋体" w:hAnsi="宋体"/>
          <w:snapToGrid w:val="0"/>
          <w:szCs w:val="21"/>
        </w:rPr>
        <w:t>天，通知招标人其日程安排。根据这个日程安排，招标人需确定要见证的项目，并在</w:t>
      </w:r>
      <w:r>
        <w:rPr>
          <w:rFonts w:hint="eastAsia" w:ascii="宋体" w:hAnsi="宋体"/>
          <w:snapToGrid w:val="0"/>
          <w:szCs w:val="21"/>
          <w:u w:val="single"/>
        </w:rPr>
        <w:t>　14　</w:t>
      </w:r>
      <w:r>
        <w:rPr>
          <w:rFonts w:hint="eastAsia" w:ascii="宋体" w:hAnsi="宋体"/>
          <w:snapToGrid w:val="0"/>
          <w:szCs w:val="21"/>
        </w:rPr>
        <w:t>天内通知投标人。招标人技术人员前往投标人生产现场，观察和了解该合同设备工厂试验的情况及其运输包装的情况时，若发现任一货物的质量不符合合同规定的标准，或包装不满足要求，招标人技术人员有权发表意见，投标人应认真考虑其意见，并采取必要措施以确保合同设备的质量。</w:t>
      </w:r>
    </w:p>
    <w:p w14:paraId="5159B3FA">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4　</w:t>
      </w:r>
      <w:r>
        <w:rPr>
          <w:rFonts w:hint="eastAsia"/>
          <w:snapToGrid w:val="0"/>
          <w:szCs w:val="21"/>
        </w:rPr>
        <w:t>若招标人不派或未按时派遣技术人员参加上述试验，投标人应在接到招标人相关通知后，自行组织检验。</w:t>
      </w:r>
    </w:p>
    <w:p w14:paraId="0F2F8BCC">
      <w:pPr>
        <w:widowControl/>
        <w:jc w:val="left"/>
        <w:rPr>
          <w:snapToGrid w:val="0"/>
          <w:kern w:val="0"/>
          <w:szCs w:val="21"/>
        </w:rPr>
      </w:pPr>
      <w:r>
        <w:rPr>
          <w:rFonts w:hint="eastAsia" w:ascii="EU-F1"/>
          <w:snapToGrid w:val="0"/>
          <w:kern w:val="0"/>
          <w:szCs w:val="21"/>
        </w:rPr>
        <w:t>7</w:t>
      </w:r>
      <w:r>
        <w:rPr>
          <w:rFonts w:hint="eastAsia" w:ascii="EU-F1"/>
          <w:snapToGrid w:val="0"/>
          <w:spacing w:val="20"/>
          <w:kern w:val="0"/>
          <w:szCs w:val="21"/>
        </w:rPr>
        <w:t>.</w:t>
      </w:r>
      <w:r>
        <w:rPr>
          <w:rFonts w:hint="eastAsia" w:ascii="EU-F1"/>
          <w:snapToGrid w:val="0"/>
          <w:kern w:val="0"/>
          <w:szCs w:val="21"/>
        </w:rPr>
        <w:t>2</w:t>
      </w:r>
      <w:r>
        <w:rPr>
          <w:rFonts w:hint="eastAsia" w:ascii="EU-F1"/>
          <w:snapToGrid w:val="0"/>
          <w:spacing w:val="20"/>
          <w:kern w:val="0"/>
          <w:szCs w:val="21"/>
        </w:rPr>
        <w:t>.</w:t>
      </w:r>
      <w:r>
        <w:rPr>
          <w:rFonts w:hint="eastAsia" w:ascii="EU-F1"/>
          <w:snapToGrid w:val="0"/>
          <w:kern w:val="0"/>
          <w:szCs w:val="21"/>
        </w:rPr>
        <w:t>5　</w:t>
      </w:r>
      <w:r>
        <w:rPr>
          <w:rFonts w:hint="eastAsia"/>
          <w:snapToGrid w:val="0"/>
          <w:kern w:val="0"/>
          <w:szCs w:val="21"/>
        </w:rPr>
        <w:t>为对合同设备进行了解，投标人应对招标人进行技术培训。</w:t>
      </w:r>
    </w:p>
    <w:p w14:paraId="7EEE81C3">
      <w:pPr>
        <w:pStyle w:val="60"/>
      </w:pPr>
      <w:bookmarkStart w:id="22" w:name="_Toc178439789"/>
      <w:bookmarkStart w:id="23" w:name="_Toc269375989"/>
      <w:r>
        <w:rPr>
          <w:rFonts w:hint="eastAsia"/>
        </w:rPr>
        <w:t>7</w:t>
      </w:r>
      <w:r>
        <w:rPr>
          <w:rFonts w:hint="eastAsia"/>
          <w:spacing w:val="20"/>
        </w:rPr>
        <w:t>.3</w:t>
      </w:r>
      <w:r>
        <w:rPr>
          <w:rFonts w:hint="eastAsia"/>
        </w:rPr>
        <w:t>　</w:t>
      </w:r>
      <w:r>
        <w:rPr>
          <w:rFonts w:hint="eastAsia"/>
          <w:snapToGrid w:val="0"/>
        </w:rPr>
        <w:t>售后服务</w:t>
      </w:r>
    </w:p>
    <w:bookmarkEnd w:id="22"/>
    <w:bookmarkEnd w:id="23"/>
    <w:p w14:paraId="317A87E7">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1　</w:t>
      </w:r>
      <w:r>
        <w:rPr>
          <w:rFonts w:hint="eastAsia"/>
          <w:snapToGrid w:val="0"/>
          <w:kern w:val="0"/>
          <w:szCs w:val="21"/>
        </w:rPr>
        <w:t>保修期内产品出现不符合功能和技术指标要求的，供方应负责无偿修理或更换；保修期外供方更换损坏的设备，按成本收取维修费用。</w:t>
      </w:r>
    </w:p>
    <w:p w14:paraId="023841A9">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2　</w:t>
      </w:r>
      <w:r>
        <w:rPr>
          <w:rFonts w:hint="eastAsia"/>
          <w:snapToGrid w:val="0"/>
          <w:kern w:val="0"/>
          <w:szCs w:val="21"/>
        </w:rPr>
        <w:t>保修外重大缺陷，供方应负责及时无偿修理或更换。</w:t>
      </w:r>
    </w:p>
    <w:p w14:paraId="4BFE9B36">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.3</w:t>
      </w:r>
      <w:r>
        <w:rPr>
          <w:rFonts w:hint="eastAsia" w:ascii="EU-F1"/>
          <w:snapToGrid w:val="0"/>
          <w:szCs w:val="21"/>
        </w:rPr>
        <w:t>　</w:t>
      </w:r>
      <w:r>
        <w:rPr>
          <w:rFonts w:hint="eastAsia"/>
          <w:snapToGrid w:val="0"/>
          <w:kern w:val="0"/>
          <w:szCs w:val="21"/>
        </w:rPr>
        <w:t>出现异常、设备缺陷、元件损坏</w:t>
      </w:r>
      <w:r>
        <w:rPr>
          <w:snapToGrid w:val="0"/>
          <w:kern w:val="0"/>
          <w:szCs w:val="21"/>
        </w:rPr>
        <w:t>,</w:t>
      </w:r>
      <w:r>
        <w:rPr>
          <w:rFonts w:hint="eastAsia"/>
          <w:snapToGrid w:val="0"/>
          <w:kern w:val="0"/>
          <w:szCs w:val="21"/>
        </w:rPr>
        <w:t>现场无法处理时，供方接到买方通知后，应在</w:t>
      </w:r>
      <w:r>
        <w:rPr>
          <w:snapToGrid w:val="0"/>
          <w:kern w:val="0"/>
          <w:szCs w:val="21"/>
        </w:rPr>
        <w:t>4</w:t>
      </w:r>
      <w:r>
        <w:rPr>
          <w:rFonts w:hint="eastAsia"/>
          <w:snapToGrid w:val="0"/>
          <w:kern w:val="0"/>
          <w:szCs w:val="21"/>
        </w:rPr>
        <w:t>小时内响应，并立即派出工程技术人员在</w:t>
      </w:r>
      <w:r>
        <w:rPr>
          <w:snapToGrid w:val="0"/>
          <w:kern w:val="0"/>
          <w:szCs w:val="21"/>
        </w:rPr>
        <w:t>48</w:t>
      </w:r>
      <w:r>
        <w:rPr>
          <w:rFonts w:hint="eastAsia"/>
          <w:snapToGrid w:val="0"/>
          <w:kern w:val="0"/>
          <w:szCs w:val="21"/>
        </w:rPr>
        <w:t>小时内到达现场进行处理。</w:t>
      </w:r>
    </w:p>
    <w:p w14:paraId="0BA2B64E">
      <w:pPr>
        <w:pStyle w:val="61"/>
        <w:outlineLvl w:val="0"/>
      </w:pPr>
      <w:bookmarkStart w:id="24" w:name="_Toc438720048"/>
      <w:r>
        <w:rPr>
          <w:rFonts w:hint="eastAsia"/>
        </w:rPr>
        <w:t>8　报价表</w:t>
      </w:r>
      <w:bookmarkEnd w:id="24"/>
    </w:p>
    <w:p w14:paraId="7D3B85EC">
      <w:pPr>
        <w:topLinePunct/>
        <w:spacing w:line="312" w:lineRule="exact"/>
        <w:ind w:firstLine="420"/>
        <w:rPr>
          <w:szCs w:val="21"/>
        </w:rPr>
        <w:sectPr>
          <w:footerReference r:id="rId3" w:type="default"/>
          <w:footerReference r:id="rId4" w:type="even"/>
          <w:pgSz w:w="11906" w:h="16838"/>
          <w:pgMar w:top="1440" w:right="1800" w:bottom="1440" w:left="1800" w:header="851" w:footer="992" w:gutter="0"/>
          <w:cols w:space="425" w:num="1"/>
          <w:docGrid w:type="lines" w:linePitch="312" w:charSpace="0"/>
        </w:sectPr>
      </w:pPr>
      <w:r>
        <w:rPr>
          <w:rFonts w:hint="eastAsia"/>
          <w:szCs w:val="21"/>
        </w:rPr>
        <w:t>报价表分为报价汇总表、分项报价表、</w:t>
      </w:r>
      <w:r>
        <w:rPr>
          <w:rFonts w:hint="eastAsia" w:ascii="宋体" w:hAnsi="宋体" w:cs="宋体"/>
          <w:color w:val="000000"/>
          <w:kern w:val="0"/>
          <w:sz w:val="22"/>
          <w:szCs w:val="22"/>
        </w:rPr>
        <w:t>货物单价分析表</w:t>
      </w:r>
      <w:r>
        <w:rPr>
          <w:rFonts w:hint="eastAsia"/>
          <w:szCs w:val="21"/>
        </w:rPr>
        <w:t>，投标人应严格按要求进行报价文件的制作。所有报价表单独密封。</w:t>
      </w:r>
    </w:p>
    <w:tbl>
      <w:tblPr>
        <w:tblStyle w:val="38"/>
        <w:tblW w:w="13061" w:type="dxa"/>
        <w:tblInd w:w="97" w:type="dxa"/>
        <w:tblLayout w:type="fixed"/>
        <w:tblCellMar>
          <w:top w:w="0" w:type="dxa"/>
          <w:left w:w="108" w:type="dxa"/>
          <w:bottom w:w="0" w:type="dxa"/>
          <w:right w:w="108" w:type="dxa"/>
        </w:tblCellMar>
      </w:tblPr>
      <w:tblGrid>
        <w:gridCol w:w="720"/>
        <w:gridCol w:w="4324"/>
        <w:gridCol w:w="779"/>
        <w:gridCol w:w="939"/>
        <w:gridCol w:w="2086"/>
        <w:gridCol w:w="859"/>
        <w:gridCol w:w="1677"/>
        <w:gridCol w:w="1677"/>
      </w:tblGrid>
      <w:tr w14:paraId="14435CB8">
        <w:tblPrEx>
          <w:tblCellMar>
            <w:top w:w="0" w:type="dxa"/>
            <w:left w:w="108" w:type="dxa"/>
            <w:bottom w:w="0" w:type="dxa"/>
            <w:right w:w="108" w:type="dxa"/>
          </w:tblCellMar>
        </w:tblPrEx>
        <w:trPr>
          <w:trHeight w:val="570" w:hRule="atLeast"/>
        </w:trPr>
        <w:tc>
          <w:tcPr>
            <w:tcW w:w="13061" w:type="dxa"/>
            <w:gridSpan w:val="8"/>
            <w:tcBorders>
              <w:top w:val="nil"/>
              <w:left w:val="nil"/>
              <w:bottom w:val="single" w:color="auto" w:sz="4" w:space="0"/>
              <w:right w:val="nil"/>
            </w:tcBorders>
            <w:shd w:val="clear" w:color="auto" w:fill="auto"/>
            <w:vAlign w:val="center"/>
          </w:tcPr>
          <w:p w14:paraId="6AAF008D">
            <w:pPr>
              <w:widowControl/>
              <w:jc w:val="center"/>
              <w:rPr>
                <w:rFonts w:ascii="宋体" w:hAnsi="宋体" w:cs="宋体"/>
                <w:color w:val="000000"/>
                <w:kern w:val="0"/>
                <w:sz w:val="22"/>
                <w:szCs w:val="22"/>
              </w:rPr>
            </w:pPr>
            <w:r>
              <w:rPr>
                <w:rFonts w:hint="eastAsia" w:ascii="宋体" w:hAnsi="宋体" w:cs="宋体"/>
                <w:color w:val="000000"/>
                <w:kern w:val="0"/>
                <w:sz w:val="22"/>
                <w:szCs w:val="22"/>
              </w:rPr>
              <w:t>报价汇总表</w:t>
            </w:r>
          </w:p>
        </w:tc>
      </w:tr>
      <w:tr w14:paraId="3A2F9507">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2C532660">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4324" w:type="dxa"/>
            <w:tcBorders>
              <w:top w:val="nil"/>
              <w:left w:val="nil"/>
              <w:bottom w:val="single" w:color="auto" w:sz="4" w:space="0"/>
              <w:right w:val="single" w:color="auto" w:sz="4" w:space="0"/>
            </w:tcBorders>
            <w:shd w:val="clear" w:color="auto" w:fill="auto"/>
            <w:vAlign w:val="center"/>
          </w:tcPr>
          <w:p w14:paraId="3F0D1E6B">
            <w:pPr>
              <w:widowControl/>
              <w:jc w:val="center"/>
              <w:rPr>
                <w:rFonts w:ascii="宋体" w:hAnsi="宋体" w:cs="宋体"/>
                <w:color w:val="000000"/>
                <w:kern w:val="0"/>
                <w:sz w:val="22"/>
                <w:szCs w:val="22"/>
              </w:rPr>
            </w:pPr>
            <w:r>
              <w:rPr>
                <w:rFonts w:hint="eastAsia" w:ascii="宋体" w:hAnsi="宋体" w:cs="宋体"/>
                <w:color w:val="000000"/>
                <w:kern w:val="0"/>
                <w:sz w:val="22"/>
                <w:szCs w:val="22"/>
              </w:rPr>
              <w:t>产品技术描述</w:t>
            </w:r>
          </w:p>
        </w:tc>
        <w:tc>
          <w:tcPr>
            <w:tcW w:w="779" w:type="dxa"/>
            <w:tcBorders>
              <w:top w:val="nil"/>
              <w:left w:val="nil"/>
              <w:bottom w:val="single" w:color="auto" w:sz="4" w:space="0"/>
              <w:right w:val="single" w:color="auto" w:sz="4" w:space="0"/>
            </w:tcBorders>
            <w:shd w:val="clear" w:color="auto" w:fill="auto"/>
            <w:vAlign w:val="center"/>
          </w:tcPr>
          <w:p w14:paraId="1486A711">
            <w:pPr>
              <w:widowControl/>
              <w:jc w:val="center"/>
              <w:rPr>
                <w:rFonts w:ascii="宋体" w:hAnsi="宋体" w:cs="宋体"/>
                <w:color w:val="000000"/>
                <w:kern w:val="0"/>
                <w:sz w:val="22"/>
                <w:szCs w:val="22"/>
              </w:rPr>
            </w:pPr>
            <w:r>
              <w:rPr>
                <w:rFonts w:hint="eastAsia" w:ascii="宋体" w:hAnsi="宋体" w:cs="宋体"/>
                <w:color w:val="000000"/>
                <w:kern w:val="0"/>
                <w:sz w:val="22"/>
                <w:szCs w:val="22"/>
              </w:rPr>
              <w:t>单位</w:t>
            </w:r>
          </w:p>
        </w:tc>
        <w:tc>
          <w:tcPr>
            <w:tcW w:w="939" w:type="dxa"/>
            <w:tcBorders>
              <w:top w:val="nil"/>
              <w:left w:val="nil"/>
              <w:bottom w:val="single" w:color="auto" w:sz="4" w:space="0"/>
              <w:right w:val="single" w:color="auto" w:sz="4" w:space="0"/>
            </w:tcBorders>
            <w:shd w:val="clear" w:color="auto" w:fill="auto"/>
            <w:vAlign w:val="center"/>
          </w:tcPr>
          <w:p w14:paraId="632E80F1">
            <w:pPr>
              <w:widowControl/>
              <w:jc w:val="center"/>
              <w:rPr>
                <w:rFonts w:ascii="宋体" w:hAnsi="宋体" w:cs="宋体"/>
                <w:color w:val="000000"/>
                <w:kern w:val="0"/>
                <w:sz w:val="22"/>
                <w:szCs w:val="22"/>
              </w:rPr>
            </w:pPr>
            <w:r>
              <w:rPr>
                <w:rFonts w:hint="eastAsia" w:ascii="宋体" w:hAnsi="宋体" w:cs="宋体"/>
                <w:color w:val="000000"/>
                <w:kern w:val="0"/>
                <w:sz w:val="22"/>
                <w:szCs w:val="22"/>
              </w:rPr>
              <w:t>数量</w:t>
            </w:r>
          </w:p>
        </w:tc>
        <w:tc>
          <w:tcPr>
            <w:tcW w:w="2086" w:type="dxa"/>
            <w:tcBorders>
              <w:top w:val="nil"/>
              <w:left w:val="nil"/>
              <w:bottom w:val="single" w:color="auto" w:sz="4" w:space="0"/>
              <w:right w:val="single" w:color="auto" w:sz="4" w:space="0"/>
            </w:tcBorders>
            <w:shd w:val="clear" w:color="auto" w:fill="auto"/>
            <w:vAlign w:val="center"/>
          </w:tcPr>
          <w:p w14:paraId="63FC7D6C">
            <w:pPr>
              <w:widowControl/>
              <w:jc w:val="center"/>
              <w:rPr>
                <w:rFonts w:ascii="宋体" w:hAnsi="宋体" w:cs="宋体"/>
                <w:color w:val="000000"/>
                <w:kern w:val="0"/>
                <w:sz w:val="22"/>
                <w:szCs w:val="22"/>
              </w:rPr>
            </w:pPr>
            <w:r>
              <w:rPr>
                <w:rFonts w:hint="eastAsia" w:ascii="宋体" w:hAnsi="宋体" w:cs="宋体"/>
                <w:color w:val="000000"/>
                <w:kern w:val="0"/>
                <w:sz w:val="22"/>
                <w:szCs w:val="22"/>
              </w:rPr>
              <w:t>单价（元）</w:t>
            </w:r>
          </w:p>
        </w:tc>
        <w:tc>
          <w:tcPr>
            <w:tcW w:w="859" w:type="dxa"/>
            <w:tcBorders>
              <w:top w:val="nil"/>
              <w:left w:val="nil"/>
              <w:bottom w:val="single" w:color="auto" w:sz="4" w:space="0"/>
              <w:right w:val="single" w:color="auto" w:sz="4" w:space="0"/>
            </w:tcBorders>
            <w:shd w:val="clear" w:color="auto" w:fill="auto"/>
            <w:vAlign w:val="center"/>
          </w:tcPr>
          <w:p w14:paraId="32A3FAE8">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677" w:type="dxa"/>
            <w:tcBorders>
              <w:top w:val="nil"/>
              <w:left w:val="nil"/>
              <w:bottom w:val="single" w:color="auto" w:sz="4" w:space="0"/>
              <w:right w:val="single" w:color="auto" w:sz="4" w:space="0"/>
            </w:tcBorders>
            <w:shd w:val="clear" w:color="auto" w:fill="auto"/>
            <w:vAlign w:val="center"/>
          </w:tcPr>
          <w:p w14:paraId="3BD99026">
            <w:pPr>
              <w:widowControl/>
              <w:jc w:val="center"/>
              <w:rPr>
                <w:rFonts w:ascii="宋体" w:hAnsi="宋体" w:cs="宋体"/>
                <w:color w:val="000000"/>
                <w:kern w:val="0"/>
                <w:sz w:val="22"/>
                <w:szCs w:val="22"/>
              </w:rPr>
            </w:pPr>
            <w:r>
              <w:rPr>
                <w:rFonts w:hint="eastAsia" w:ascii="宋体" w:hAnsi="宋体" w:cs="宋体"/>
                <w:color w:val="000000"/>
                <w:kern w:val="0"/>
                <w:sz w:val="22"/>
                <w:szCs w:val="22"/>
              </w:rPr>
              <w:t>生产厂家</w:t>
            </w:r>
          </w:p>
        </w:tc>
        <w:tc>
          <w:tcPr>
            <w:tcW w:w="1677" w:type="dxa"/>
            <w:tcBorders>
              <w:top w:val="nil"/>
              <w:left w:val="nil"/>
              <w:bottom w:val="single" w:color="auto" w:sz="4" w:space="0"/>
              <w:right w:val="single" w:color="auto" w:sz="4" w:space="0"/>
            </w:tcBorders>
            <w:shd w:val="clear" w:color="auto" w:fill="auto"/>
            <w:vAlign w:val="center"/>
          </w:tcPr>
          <w:p w14:paraId="49621BED">
            <w:pPr>
              <w:widowControl/>
              <w:jc w:val="center"/>
              <w:rPr>
                <w:rFonts w:ascii="宋体" w:hAnsi="宋体" w:cs="宋体"/>
                <w:color w:val="000000"/>
                <w:kern w:val="0"/>
                <w:sz w:val="22"/>
                <w:szCs w:val="22"/>
              </w:rPr>
            </w:pPr>
            <w:r>
              <w:rPr>
                <w:rFonts w:hint="eastAsia" w:ascii="宋体" w:hAnsi="宋体" w:cs="宋体"/>
                <w:color w:val="000000"/>
                <w:kern w:val="0"/>
                <w:sz w:val="22"/>
                <w:szCs w:val="22"/>
              </w:rPr>
              <w:t>其他说明</w:t>
            </w:r>
          </w:p>
        </w:tc>
      </w:tr>
      <w:tr w14:paraId="7CEC617F">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47503178">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324" w:type="dxa"/>
            <w:tcBorders>
              <w:top w:val="nil"/>
              <w:left w:val="nil"/>
              <w:bottom w:val="single" w:color="auto" w:sz="4" w:space="0"/>
              <w:right w:val="single" w:color="auto" w:sz="4" w:space="0"/>
            </w:tcBorders>
            <w:shd w:val="clear" w:color="auto" w:fill="auto"/>
            <w:vAlign w:val="center"/>
          </w:tcPr>
          <w:p w14:paraId="05F10C41">
            <w:pPr>
              <w:widowControl/>
              <w:jc w:val="left"/>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PMF633H、PMF660BD</w:t>
            </w:r>
            <w:r>
              <w:rPr>
                <w:rFonts w:hint="eastAsia" w:ascii="宋体" w:hAnsi="宋体" w:cs="宋体"/>
                <w:color w:val="000000"/>
                <w:kern w:val="0"/>
                <w:sz w:val="22"/>
                <w:szCs w:val="22"/>
                <w:lang w:val="en-US" w:eastAsia="zh-CN"/>
              </w:rPr>
              <w:t>/</w:t>
            </w:r>
            <w:r>
              <w:rPr>
                <w:rFonts w:hint="eastAsia" w:ascii="宋体" w:hAnsi="宋体" w:cs="宋体"/>
                <w:color w:val="000000"/>
                <w:kern w:val="0"/>
                <w:sz w:val="22"/>
                <w:szCs w:val="22"/>
                <w:lang w:eastAsia="zh-CN"/>
              </w:rPr>
              <w:t>AM常用开关电源</w:t>
            </w:r>
          </w:p>
        </w:tc>
        <w:tc>
          <w:tcPr>
            <w:tcW w:w="779" w:type="dxa"/>
            <w:tcBorders>
              <w:top w:val="nil"/>
              <w:left w:val="nil"/>
              <w:bottom w:val="single" w:color="auto" w:sz="4" w:space="0"/>
              <w:right w:val="single" w:color="auto" w:sz="4" w:space="0"/>
            </w:tcBorders>
            <w:shd w:val="clear" w:color="auto" w:fill="auto"/>
            <w:vAlign w:val="center"/>
          </w:tcPr>
          <w:p w14:paraId="495934DB">
            <w:pPr>
              <w:jc w:val="center"/>
              <w:rPr>
                <w:rFonts w:ascii="宋体" w:hAnsi="宋体" w:cs="宋体"/>
                <w:color w:val="000000"/>
                <w:kern w:val="0"/>
                <w:sz w:val="22"/>
                <w:szCs w:val="22"/>
              </w:rPr>
            </w:pPr>
            <w:r>
              <w:rPr>
                <w:rFonts w:hint="eastAsia" w:ascii="宋体" w:hAnsi="宋体" w:cs="宋体"/>
                <w:color w:val="000000"/>
                <w:kern w:val="0"/>
                <w:sz w:val="22"/>
                <w:szCs w:val="22"/>
              </w:rPr>
              <w:t>套</w:t>
            </w:r>
          </w:p>
        </w:tc>
        <w:tc>
          <w:tcPr>
            <w:tcW w:w="939" w:type="dxa"/>
            <w:tcBorders>
              <w:top w:val="nil"/>
              <w:left w:val="nil"/>
              <w:bottom w:val="single" w:color="auto" w:sz="4" w:space="0"/>
              <w:right w:val="single" w:color="auto" w:sz="4" w:space="0"/>
            </w:tcBorders>
            <w:shd w:val="clear" w:color="auto" w:fill="auto"/>
            <w:vAlign w:val="center"/>
          </w:tcPr>
          <w:p w14:paraId="7FE0479E">
            <w:pPr>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086" w:type="dxa"/>
            <w:tcBorders>
              <w:top w:val="nil"/>
              <w:left w:val="nil"/>
              <w:bottom w:val="single" w:color="auto" w:sz="4" w:space="0"/>
              <w:right w:val="single" w:color="auto" w:sz="4" w:space="0"/>
            </w:tcBorders>
            <w:shd w:val="clear" w:color="auto" w:fill="auto"/>
            <w:vAlign w:val="center"/>
          </w:tcPr>
          <w:p w14:paraId="0A97C4D2">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563FAB2F">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7AF569F7">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52D90397">
            <w:pPr>
              <w:widowControl/>
              <w:jc w:val="center"/>
              <w:rPr>
                <w:rFonts w:ascii="宋体" w:hAnsi="宋体" w:cs="宋体"/>
                <w:color w:val="000000"/>
                <w:kern w:val="0"/>
                <w:sz w:val="22"/>
                <w:szCs w:val="22"/>
                <w:highlight w:val="yellow"/>
              </w:rPr>
            </w:pPr>
          </w:p>
        </w:tc>
      </w:tr>
      <w:tr w14:paraId="5368D565">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4216E183">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324" w:type="dxa"/>
            <w:tcBorders>
              <w:top w:val="nil"/>
              <w:left w:val="nil"/>
              <w:bottom w:val="single" w:color="auto" w:sz="4" w:space="0"/>
              <w:right w:val="single" w:color="auto" w:sz="4" w:space="0"/>
            </w:tcBorders>
            <w:shd w:val="clear" w:color="auto" w:fill="auto"/>
            <w:vAlign w:val="center"/>
          </w:tcPr>
          <w:p w14:paraId="6487F112">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lang w:eastAsia="zh-CN"/>
              </w:rPr>
              <w:t>PMF720，PMF702，PMF760，PMF770常用开关电源</w:t>
            </w:r>
          </w:p>
        </w:tc>
        <w:tc>
          <w:tcPr>
            <w:tcW w:w="779" w:type="dxa"/>
            <w:tcBorders>
              <w:top w:val="nil"/>
              <w:left w:val="nil"/>
              <w:bottom w:val="single" w:color="auto" w:sz="4" w:space="0"/>
              <w:right w:val="single" w:color="auto" w:sz="4" w:space="0"/>
            </w:tcBorders>
            <w:shd w:val="clear" w:color="auto" w:fill="auto"/>
            <w:vAlign w:val="center"/>
          </w:tcPr>
          <w:p w14:paraId="0E407F31">
            <w:pPr>
              <w:jc w:val="center"/>
              <w:rPr>
                <w:rFonts w:ascii="宋体" w:hAnsi="宋体" w:cs="宋体"/>
                <w:color w:val="000000"/>
                <w:kern w:val="0"/>
                <w:sz w:val="22"/>
                <w:szCs w:val="22"/>
                <w:highlight w:val="yellow"/>
              </w:rPr>
            </w:pPr>
            <w:r>
              <w:rPr>
                <w:rFonts w:hint="eastAsia" w:ascii="宋体" w:hAnsi="宋体" w:cs="宋体"/>
                <w:color w:val="000000"/>
                <w:kern w:val="0"/>
                <w:sz w:val="22"/>
                <w:szCs w:val="22"/>
              </w:rPr>
              <w:t>套</w:t>
            </w:r>
          </w:p>
        </w:tc>
        <w:tc>
          <w:tcPr>
            <w:tcW w:w="939" w:type="dxa"/>
            <w:tcBorders>
              <w:top w:val="nil"/>
              <w:left w:val="nil"/>
              <w:bottom w:val="single" w:color="auto" w:sz="4" w:space="0"/>
              <w:right w:val="single" w:color="auto" w:sz="4" w:space="0"/>
            </w:tcBorders>
            <w:shd w:val="clear" w:color="auto" w:fill="auto"/>
            <w:vAlign w:val="center"/>
          </w:tcPr>
          <w:p w14:paraId="0D855991">
            <w:pPr>
              <w:jc w:val="center"/>
              <w:rPr>
                <w:rFonts w:hint="eastAsia" w:ascii="宋体" w:hAnsi="宋体" w:eastAsia="宋体" w:cs="宋体"/>
                <w:color w:val="000000"/>
                <w:kern w:val="0"/>
                <w:sz w:val="22"/>
                <w:szCs w:val="22"/>
                <w:highlight w:val="yellow"/>
                <w:lang w:val="en-US" w:eastAsia="zh-CN"/>
              </w:rPr>
            </w:pPr>
            <w:r>
              <w:rPr>
                <w:rFonts w:hint="eastAsia" w:ascii="宋体" w:hAnsi="宋体" w:cs="宋体"/>
                <w:color w:val="000000"/>
                <w:kern w:val="0"/>
                <w:sz w:val="22"/>
                <w:szCs w:val="22"/>
                <w:highlight w:val="none"/>
                <w:lang w:val="en-US" w:eastAsia="zh-CN"/>
              </w:rPr>
              <w:t>1</w:t>
            </w:r>
          </w:p>
        </w:tc>
        <w:tc>
          <w:tcPr>
            <w:tcW w:w="2086" w:type="dxa"/>
            <w:tcBorders>
              <w:top w:val="nil"/>
              <w:left w:val="nil"/>
              <w:bottom w:val="single" w:color="auto" w:sz="4" w:space="0"/>
              <w:right w:val="single" w:color="auto" w:sz="4" w:space="0"/>
            </w:tcBorders>
            <w:shd w:val="clear" w:color="auto" w:fill="auto"/>
            <w:vAlign w:val="center"/>
          </w:tcPr>
          <w:p w14:paraId="72C9D00B">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0FB35B6B">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4B0F8A06">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3D767A2E">
            <w:pPr>
              <w:widowControl/>
              <w:jc w:val="center"/>
              <w:rPr>
                <w:rFonts w:ascii="宋体" w:hAnsi="宋体" w:cs="宋体"/>
                <w:color w:val="000000"/>
                <w:kern w:val="0"/>
                <w:sz w:val="22"/>
                <w:szCs w:val="22"/>
                <w:highlight w:val="yellow"/>
              </w:rPr>
            </w:pPr>
          </w:p>
        </w:tc>
      </w:tr>
      <w:tr w14:paraId="51B1BD23">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2D4F834C">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4324" w:type="dxa"/>
            <w:tcBorders>
              <w:top w:val="nil"/>
              <w:left w:val="nil"/>
              <w:bottom w:val="single" w:color="auto" w:sz="4" w:space="0"/>
              <w:right w:val="single" w:color="auto" w:sz="4" w:space="0"/>
            </w:tcBorders>
            <w:shd w:val="clear" w:color="auto" w:fill="auto"/>
            <w:vAlign w:val="center"/>
          </w:tcPr>
          <w:p w14:paraId="025B3B0A">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lang w:eastAsia="zh-CN"/>
              </w:rPr>
              <w:t>PMF710常用开关电源</w:t>
            </w:r>
          </w:p>
        </w:tc>
        <w:tc>
          <w:tcPr>
            <w:tcW w:w="779" w:type="dxa"/>
            <w:tcBorders>
              <w:top w:val="nil"/>
              <w:left w:val="nil"/>
              <w:bottom w:val="single" w:color="auto" w:sz="4" w:space="0"/>
              <w:right w:val="single" w:color="auto" w:sz="4" w:space="0"/>
            </w:tcBorders>
            <w:shd w:val="clear" w:color="auto" w:fill="auto"/>
            <w:vAlign w:val="center"/>
          </w:tcPr>
          <w:p w14:paraId="74F785E3">
            <w:pPr>
              <w:jc w:val="center"/>
              <w:rPr>
                <w:rFonts w:ascii="宋体" w:hAnsi="宋体" w:cs="宋体"/>
                <w:color w:val="000000"/>
                <w:kern w:val="0"/>
                <w:sz w:val="22"/>
                <w:szCs w:val="22"/>
                <w:highlight w:val="yellow"/>
              </w:rPr>
            </w:pPr>
            <w:r>
              <w:rPr>
                <w:rFonts w:hint="eastAsia" w:ascii="宋体" w:hAnsi="宋体" w:cs="宋体"/>
                <w:color w:val="000000"/>
                <w:kern w:val="0"/>
                <w:sz w:val="22"/>
                <w:szCs w:val="22"/>
              </w:rPr>
              <w:t>套</w:t>
            </w:r>
          </w:p>
        </w:tc>
        <w:tc>
          <w:tcPr>
            <w:tcW w:w="939" w:type="dxa"/>
            <w:tcBorders>
              <w:top w:val="nil"/>
              <w:left w:val="nil"/>
              <w:bottom w:val="single" w:color="auto" w:sz="4" w:space="0"/>
              <w:right w:val="single" w:color="auto" w:sz="4" w:space="0"/>
            </w:tcBorders>
            <w:shd w:val="clear" w:color="auto" w:fill="auto"/>
            <w:vAlign w:val="center"/>
          </w:tcPr>
          <w:p w14:paraId="795D1E6B">
            <w:pPr>
              <w:jc w:val="center"/>
              <w:rPr>
                <w:rFonts w:ascii="宋体" w:hAnsi="宋体" w:cs="宋体"/>
                <w:color w:val="000000"/>
                <w:kern w:val="0"/>
                <w:sz w:val="22"/>
                <w:szCs w:val="22"/>
                <w:highlight w:val="yellow"/>
              </w:rPr>
            </w:pPr>
            <w:r>
              <w:rPr>
                <w:rFonts w:hint="eastAsia" w:ascii="宋体" w:hAnsi="宋体" w:cs="宋体"/>
                <w:color w:val="000000"/>
                <w:kern w:val="0"/>
                <w:sz w:val="22"/>
                <w:szCs w:val="22"/>
                <w:highlight w:val="none"/>
                <w:lang w:val="en-US" w:eastAsia="zh-CN"/>
              </w:rPr>
              <w:t>1</w:t>
            </w:r>
          </w:p>
        </w:tc>
        <w:tc>
          <w:tcPr>
            <w:tcW w:w="2086" w:type="dxa"/>
            <w:tcBorders>
              <w:top w:val="nil"/>
              <w:left w:val="nil"/>
              <w:bottom w:val="single" w:color="auto" w:sz="4" w:space="0"/>
              <w:right w:val="single" w:color="auto" w:sz="4" w:space="0"/>
            </w:tcBorders>
            <w:shd w:val="clear" w:color="auto" w:fill="auto"/>
            <w:vAlign w:val="center"/>
          </w:tcPr>
          <w:p w14:paraId="22FE1EB7">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278E427D">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706B4605">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6BF883A2">
            <w:pPr>
              <w:widowControl/>
              <w:jc w:val="center"/>
              <w:rPr>
                <w:rFonts w:ascii="宋体" w:hAnsi="宋体" w:cs="宋体"/>
                <w:color w:val="000000"/>
                <w:kern w:val="0"/>
                <w:sz w:val="22"/>
                <w:szCs w:val="22"/>
                <w:highlight w:val="yellow"/>
              </w:rPr>
            </w:pPr>
          </w:p>
        </w:tc>
      </w:tr>
      <w:tr w14:paraId="64967491">
        <w:tblPrEx>
          <w:tblCellMar>
            <w:top w:w="0" w:type="dxa"/>
            <w:left w:w="108" w:type="dxa"/>
            <w:bottom w:w="0" w:type="dxa"/>
            <w:right w:w="108" w:type="dxa"/>
          </w:tblCellMar>
        </w:tblPrEx>
        <w:trPr>
          <w:trHeight w:val="270" w:hRule="atLeast"/>
        </w:trPr>
        <w:tc>
          <w:tcPr>
            <w:tcW w:w="884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39E2C8A">
            <w:pPr>
              <w:widowControl/>
              <w:jc w:val="center"/>
              <w:rPr>
                <w:rFonts w:ascii="宋体" w:hAnsi="宋体" w:cs="宋体"/>
                <w:color w:val="000000"/>
                <w:kern w:val="0"/>
                <w:sz w:val="22"/>
                <w:szCs w:val="22"/>
              </w:rPr>
            </w:pPr>
            <w:bookmarkStart w:id="25" w:name="_GoBack"/>
            <w:bookmarkEnd w:id="25"/>
            <w:r>
              <w:rPr>
                <w:rFonts w:hint="eastAsia" w:ascii="宋体" w:hAnsi="宋体" w:cs="宋体"/>
                <w:color w:val="000000"/>
                <w:kern w:val="0"/>
                <w:sz w:val="22"/>
                <w:szCs w:val="22"/>
              </w:rPr>
              <w:t>总计</w:t>
            </w:r>
          </w:p>
        </w:tc>
        <w:tc>
          <w:tcPr>
            <w:tcW w:w="859" w:type="dxa"/>
            <w:tcBorders>
              <w:top w:val="nil"/>
              <w:left w:val="nil"/>
              <w:bottom w:val="single" w:color="auto" w:sz="4" w:space="0"/>
              <w:right w:val="single" w:color="auto" w:sz="4" w:space="0"/>
            </w:tcBorders>
            <w:shd w:val="clear" w:color="auto" w:fill="auto"/>
            <w:vAlign w:val="center"/>
          </w:tcPr>
          <w:p w14:paraId="517E966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677" w:type="dxa"/>
            <w:tcBorders>
              <w:top w:val="nil"/>
              <w:left w:val="nil"/>
              <w:bottom w:val="single" w:color="auto" w:sz="4" w:space="0"/>
              <w:right w:val="single" w:color="auto" w:sz="4" w:space="0"/>
            </w:tcBorders>
            <w:shd w:val="clear" w:color="auto" w:fill="auto"/>
            <w:vAlign w:val="center"/>
          </w:tcPr>
          <w:p w14:paraId="7E3F872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677" w:type="dxa"/>
            <w:tcBorders>
              <w:top w:val="nil"/>
              <w:left w:val="nil"/>
              <w:bottom w:val="single" w:color="auto" w:sz="4" w:space="0"/>
              <w:right w:val="single" w:color="auto" w:sz="4" w:space="0"/>
            </w:tcBorders>
            <w:shd w:val="clear" w:color="auto" w:fill="auto"/>
            <w:vAlign w:val="center"/>
          </w:tcPr>
          <w:p w14:paraId="3786D72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70B6BBEC">
        <w:tblPrEx>
          <w:tblCellMar>
            <w:top w:w="0" w:type="dxa"/>
            <w:left w:w="108" w:type="dxa"/>
            <w:bottom w:w="0" w:type="dxa"/>
            <w:right w:w="108" w:type="dxa"/>
          </w:tblCellMar>
        </w:tblPrEx>
        <w:trPr>
          <w:trHeight w:val="27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2F47FE75">
            <w:pPr>
              <w:rPr>
                <w:rFonts w:ascii="宋体" w:hAnsi="宋体" w:cs="宋体"/>
                <w:color w:val="000000"/>
                <w:kern w:val="0"/>
                <w:sz w:val="22"/>
                <w:szCs w:val="22"/>
              </w:rPr>
            </w:pPr>
            <w:r>
              <w:rPr>
                <w:rFonts w:hint="eastAsia"/>
                <w:color w:val="000000"/>
                <w:sz w:val="22"/>
                <w:szCs w:val="22"/>
              </w:rPr>
              <w:t>说明：1、投标单位需严格按照此格式进行报价。</w:t>
            </w:r>
          </w:p>
        </w:tc>
      </w:tr>
      <w:tr w14:paraId="1524D5F0">
        <w:tblPrEx>
          <w:tblCellMar>
            <w:top w:w="0" w:type="dxa"/>
            <w:left w:w="108" w:type="dxa"/>
            <w:bottom w:w="0" w:type="dxa"/>
            <w:right w:w="108" w:type="dxa"/>
          </w:tblCellMar>
        </w:tblPrEx>
        <w:trPr>
          <w:trHeight w:val="63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0955A6C8">
            <w:pPr>
              <w:rPr>
                <w:rFonts w:ascii="宋体" w:hAnsi="宋体" w:cs="宋体"/>
                <w:color w:val="000000"/>
                <w:kern w:val="0"/>
                <w:sz w:val="22"/>
                <w:szCs w:val="22"/>
              </w:rPr>
            </w:pPr>
            <w:r>
              <w:rPr>
                <w:rFonts w:hint="eastAsia"/>
                <w:color w:val="000000"/>
                <w:sz w:val="22"/>
                <w:szCs w:val="22"/>
              </w:rPr>
              <w:t>2、投标人需要根据表格容量进行报价，单个产品合计价格须与报价汇总表单价保持一致。</w:t>
            </w:r>
          </w:p>
        </w:tc>
      </w:tr>
      <w:tr w14:paraId="76CB92B4">
        <w:tblPrEx>
          <w:tblCellMar>
            <w:top w:w="0" w:type="dxa"/>
            <w:left w:w="108" w:type="dxa"/>
            <w:bottom w:w="0" w:type="dxa"/>
            <w:right w:w="108" w:type="dxa"/>
          </w:tblCellMar>
        </w:tblPrEx>
        <w:trPr>
          <w:trHeight w:val="27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31B9BB11">
            <w:pPr>
              <w:rPr>
                <w:rFonts w:ascii="宋体" w:hAnsi="宋体" w:cs="宋体"/>
                <w:color w:val="000000"/>
                <w:kern w:val="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3、本招标为年度框架招标，本报价仅列出常用型号，用户报价时需提供产品样本及价格表，如采购时产生不在本报价型号的产品型号，则产品单价将按对应中标金额与面价表比例进行计算。</w:t>
            </w:r>
          </w:p>
        </w:tc>
      </w:tr>
    </w:tbl>
    <w:p w14:paraId="3BEB9442">
      <w:pPr>
        <w:topLinePunct/>
        <w:spacing w:line="312" w:lineRule="exact"/>
        <w:ind w:firstLine="420"/>
      </w:pPr>
    </w:p>
    <w:p w14:paraId="0AEDC293">
      <w:pPr>
        <w:topLinePunct/>
        <w:spacing w:line="312" w:lineRule="exact"/>
        <w:ind w:firstLine="420"/>
      </w:pPr>
    </w:p>
    <w:tbl>
      <w:tblPr>
        <w:tblStyle w:val="38"/>
        <w:tblpPr w:leftFromText="180" w:rightFromText="180" w:vertAnchor="text" w:horzAnchor="page" w:tblpX="1714" w:tblpY="253"/>
        <w:tblOverlap w:val="never"/>
        <w:tblW w:w="13313" w:type="dxa"/>
        <w:tblInd w:w="0" w:type="dxa"/>
        <w:tblLayout w:type="fixed"/>
        <w:tblCellMar>
          <w:top w:w="0" w:type="dxa"/>
          <w:left w:w="108" w:type="dxa"/>
          <w:bottom w:w="0" w:type="dxa"/>
          <w:right w:w="108" w:type="dxa"/>
        </w:tblCellMar>
      </w:tblPr>
      <w:tblGrid>
        <w:gridCol w:w="760"/>
        <w:gridCol w:w="3615"/>
        <w:gridCol w:w="835"/>
        <w:gridCol w:w="936"/>
        <w:gridCol w:w="2104"/>
        <w:gridCol w:w="910"/>
        <w:gridCol w:w="4153"/>
      </w:tblGrid>
      <w:tr w14:paraId="572EACB5">
        <w:tblPrEx>
          <w:tblCellMar>
            <w:top w:w="0" w:type="dxa"/>
            <w:left w:w="108" w:type="dxa"/>
            <w:bottom w:w="0" w:type="dxa"/>
            <w:right w:w="108" w:type="dxa"/>
          </w:tblCellMar>
        </w:tblPrEx>
        <w:trPr>
          <w:trHeight w:val="285" w:hRule="atLeast"/>
        </w:trPr>
        <w:tc>
          <w:tcPr>
            <w:tcW w:w="13313" w:type="dxa"/>
            <w:gridSpan w:val="7"/>
            <w:tcBorders>
              <w:top w:val="nil"/>
              <w:left w:val="nil"/>
              <w:bottom w:val="single" w:color="auto" w:sz="8" w:space="0"/>
              <w:right w:val="nil"/>
            </w:tcBorders>
            <w:shd w:val="clear" w:color="auto" w:fill="auto"/>
            <w:vAlign w:val="center"/>
          </w:tcPr>
          <w:p w14:paraId="6255904D">
            <w:pPr>
              <w:jc w:val="center"/>
              <w:rPr>
                <w:rFonts w:ascii="宋体" w:hAnsi="宋体" w:cs="宋体"/>
                <w:color w:val="000000"/>
                <w:sz w:val="22"/>
                <w:szCs w:val="22"/>
              </w:rPr>
            </w:pPr>
            <w:r>
              <w:rPr>
                <w:rFonts w:hint="eastAsia"/>
                <w:color w:val="000000"/>
                <w:sz w:val="22"/>
                <w:szCs w:val="22"/>
              </w:rPr>
              <w:t>分项报价表</w:t>
            </w:r>
          </w:p>
        </w:tc>
      </w:tr>
      <w:tr w14:paraId="548E9195">
        <w:tblPrEx>
          <w:tblCellMar>
            <w:top w:w="0" w:type="dxa"/>
            <w:left w:w="108" w:type="dxa"/>
            <w:bottom w:w="0" w:type="dxa"/>
            <w:right w:w="108" w:type="dxa"/>
          </w:tblCellMar>
        </w:tblPrEx>
        <w:trPr>
          <w:trHeight w:val="82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DA25E0C">
            <w:pPr>
              <w:jc w:val="center"/>
              <w:rPr>
                <w:rFonts w:ascii="宋体" w:hAnsi="宋体" w:cs="宋体"/>
                <w:color w:val="000000"/>
                <w:sz w:val="22"/>
                <w:szCs w:val="22"/>
              </w:rPr>
            </w:pPr>
            <w:r>
              <w:rPr>
                <w:rFonts w:hint="eastAsia"/>
                <w:color w:val="000000"/>
                <w:sz w:val="22"/>
                <w:szCs w:val="22"/>
              </w:rPr>
              <w:t>序号</w:t>
            </w:r>
          </w:p>
        </w:tc>
        <w:tc>
          <w:tcPr>
            <w:tcW w:w="3615" w:type="dxa"/>
            <w:tcBorders>
              <w:top w:val="nil"/>
              <w:left w:val="nil"/>
              <w:bottom w:val="single" w:color="auto" w:sz="8" w:space="0"/>
              <w:right w:val="single" w:color="auto" w:sz="8" w:space="0"/>
            </w:tcBorders>
            <w:shd w:val="clear" w:color="auto" w:fill="auto"/>
            <w:vAlign w:val="center"/>
          </w:tcPr>
          <w:p w14:paraId="58C534EB">
            <w:pPr>
              <w:jc w:val="center"/>
              <w:rPr>
                <w:rFonts w:ascii="宋体" w:hAnsi="宋体" w:cs="宋体"/>
                <w:color w:val="000000"/>
                <w:sz w:val="22"/>
                <w:szCs w:val="22"/>
              </w:rPr>
            </w:pPr>
            <w:r>
              <w:rPr>
                <w:rFonts w:hint="eastAsia"/>
                <w:color w:val="000000"/>
                <w:sz w:val="22"/>
                <w:szCs w:val="22"/>
              </w:rPr>
              <w:t>产品技术描述</w:t>
            </w:r>
          </w:p>
        </w:tc>
        <w:tc>
          <w:tcPr>
            <w:tcW w:w="835" w:type="dxa"/>
            <w:tcBorders>
              <w:top w:val="nil"/>
              <w:left w:val="nil"/>
              <w:bottom w:val="single" w:color="auto" w:sz="8" w:space="0"/>
              <w:right w:val="single" w:color="auto" w:sz="8" w:space="0"/>
            </w:tcBorders>
            <w:shd w:val="clear" w:color="auto" w:fill="auto"/>
            <w:vAlign w:val="center"/>
          </w:tcPr>
          <w:p w14:paraId="38358220">
            <w:pPr>
              <w:jc w:val="center"/>
              <w:rPr>
                <w:rFonts w:ascii="宋体" w:hAnsi="宋体" w:cs="宋体"/>
                <w:color w:val="000000"/>
                <w:sz w:val="22"/>
                <w:szCs w:val="22"/>
              </w:rPr>
            </w:pPr>
            <w:r>
              <w:rPr>
                <w:rFonts w:hint="eastAsia"/>
                <w:color w:val="000000"/>
                <w:sz w:val="22"/>
                <w:szCs w:val="22"/>
              </w:rPr>
              <w:t>单位</w:t>
            </w:r>
          </w:p>
        </w:tc>
        <w:tc>
          <w:tcPr>
            <w:tcW w:w="936" w:type="dxa"/>
            <w:tcBorders>
              <w:top w:val="nil"/>
              <w:left w:val="nil"/>
              <w:bottom w:val="single" w:color="auto" w:sz="8" w:space="0"/>
              <w:right w:val="single" w:color="auto" w:sz="8" w:space="0"/>
            </w:tcBorders>
            <w:shd w:val="clear" w:color="auto" w:fill="auto"/>
            <w:vAlign w:val="center"/>
          </w:tcPr>
          <w:p w14:paraId="7D76E837">
            <w:pPr>
              <w:jc w:val="center"/>
              <w:rPr>
                <w:rFonts w:ascii="宋体" w:hAnsi="宋体" w:cs="宋体"/>
                <w:color w:val="000000"/>
                <w:sz w:val="22"/>
                <w:szCs w:val="22"/>
              </w:rPr>
            </w:pPr>
            <w:r>
              <w:rPr>
                <w:rFonts w:hint="eastAsia"/>
                <w:color w:val="000000"/>
                <w:sz w:val="22"/>
                <w:szCs w:val="22"/>
              </w:rPr>
              <w:t>数量</w:t>
            </w:r>
          </w:p>
        </w:tc>
        <w:tc>
          <w:tcPr>
            <w:tcW w:w="2104" w:type="dxa"/>
            <w:tcBorders>
              <w:top w:val="nil"/>
              <w:left w:val="nil"/>
              <w:bottom w:val="single" w:color="auto" w:sz="8" w:space="0"/>
              <w:right w:val="single" w:color="auto" w:sz="8" w:space="0"/>
            </w:tcBorders>
            <w:shd w:val="clear" w:color="auto" w:fill="auto"/>
            <w:vAlign w:val="center"/>
          </w:tcPr>
          <w:p w14:paraId="7044882B">
            <w:pPr>
              <w:jc w:val="center"/>
              <w:rPr>
                <w:rFonts w:ascii="宋体" w:hAnsi="宋体" w:cs="宋体"/>
                <w:color w:val="000000"/>
                <w:sz w:val="22"/>
                <w:szCs w:val="22"/>
              </w:rPr>
            </w:pPr>
            <w:r>
              <w:rPr>
                <w:rFonts w:hint="eastAsia"/>
                <w:color w:val="000000"/>
                <w:sz w:val="22"/>
                <w:szCs w:val="22"/>
              </w:rPr>
              <w:t>规格型号（厂家自填）</w:t>
            </w:r>
          </w:p>
        </w:tc>
        <w:tc>
          <w:tcPr>
            <w:tcW w:w="910" w:type="dxa"/>
            <w:tcBorders>
              <w:top w:val="nil"/>
              <w:left w:val="nil"/>
              <w:bottom w:val="single" w:color="auto" w:sz="8" w:space="0"/>
              <w:right w:val="single" w:color="auto" w:sz="8" w:space="0"/>
            </w:tcBorders>
            <w:shd w:val="clear" w:color="auto" w:fill="auto"/>
            <w:vAlign w:val="center"/>
          </w:tcPr>
          <w:p w14:paraId="712CA7CF">
            <w:pPr>
              <w:jc w:val="center"/>
              <w:rPr>
                <w:rFonts w:ascii="宋体" w:hAnsi="宋体" w:cs="宋体"/>
                <w:color w:val="000000"/>
                <w:sz w:val="22"/>
                <w:szCs w:val="22"/>
              </w:rPr>
            </w:pPr>
            <w:r>
              <w:rPr>
                <w:rFonts w:hint="eastAsia"/>
                <w:color w:val="000000"/>
                <w:sz w:val="22"/>
                <w:szCs w:val="22"/>
              </w:rPr>
              <w:t>合计</w:t>
            </w:r>
          </w:p>
        </w:tc>
        <w:tc>
          <w:tcPr>
            <w:tcW w:w="4153" w:type="dxa"/>
            <w:tcBorders>
              <w:top w:val="nil"/>
              <w:left w:val="nil"/>
              <w:bottom w:val="single" w:color="auto" w:sz="8" w:space="0"/>
              <w:right w:val="single" w:color="auto" w:sz="8" w:space="0"/>
            </w:tcBorders>
            <w:shd w:val="clear" w:color="auto" w:fill="auto"/>
            <w:vAlign w:val="center"/>
          </w:tcPr>
          <w:p w14:paraId="2F248A98">
            <w:pPr>
              <w:jc w:val="center"/>
              <w:rPr>
                <w:rFonts w:ascii="宋体" w:hAnsi="宋体" w:cs="宋体"/>
                <w:color w:val="000000"/>
                <w:sz w:val="22"/>
                <w:szCs w:val="22"/>
              </w:rPr>
            </w:pPr>
            <w:r>
              <w:rPr>
                <w:rFonts w:hint="eastAsia"/>
                <w:color w:val="000000"/>
                <w:sz w:val="22"/>
                <w:szCs w:val="22"/>
              </w:rPr>
              <w:t>其他说明(按不同变比分别报价)</w:t>
            </w:r>
          </w:p>
        </w:tc>
      </w:tr>
      <w:tr w14:paraId="7BC3DAED">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956AB91">
            <w:pPr>
              <w:jc w:val="center"/>
              <w:rPr>
                <w:rFonts w:ascii="宋体" w:hAnsi="宋体" w:cs="宋体"/>
                <w:color w:val="000000"/>
                <w:sz w:val="22"/>
                <w:szCs w:val="22"/>
              </w:rPr>
            </w:pPr>
            <w:r>
              <w:rPr>
                <w:rFonts w:hint="eastAsia"/>
                <w:color w:val="000000"/>
                <w:sz w:val="22"/>
                <w:szCs w:val="22"/>
              </w:rPr>
              <w:t>1</w:t>
            </w:r>
          </w:p>
        </w:tc>
        <w:tc>
          <w:tcPr>
            <w:tcW w:w="3615" w:type="dxa"/>
            <w:tcBorders>
              <w:top w:val="nil"/>
              <w:left w:val="nil"/>
              <w:bottom w:val="single" w:color="auto" w:sz="8" w:space="0"/>
              <w:right w:val="single" w:color="auto" w:sz="8" w:space="0"/>
            </w:tcBorders>
            <w:shd w:val="clear" w:color="auto" w:fill="auto"/>
            <w:vAlign w:val="center"/>
          </w:tcPr>
          <w:p w14:paraId="309E90E1">
            <w:pPr>
              <w:widowControl/>
              <w:jc w:val="left"/>
              <w:rPr>
                <w:rFonts w:ascii="宋体" w:hAnsi="宋体" w:cs="宋体"/>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7F22FF69">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7E7008ED">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1F56794A">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0AE9CB31">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34CFACF2">
            <w:pPr>
              <w:widowControl/>
              <w:jc w:val="center"/>
              <w:rPr>
                <w:rFonts w:ascii="宋体" w:hAnsi="宋体" w:cs="宋体"/>
                <w:color w:val="000000"/>
                <w:sz w:val="22"/>
                <w:szCs w:val="22"/>
                <w:highlight w:val="yellow"/>
              </w:rPr>
            </w:pPr>
          </w:p>
        </w:tc>
      </w:tr>
      <w:tr w14:paraId="54FC6CE0">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C49D48B">
            <w:pPr>
              <w:jc w:val="center"/>
              <w:rPr>
                <w:rFonts w:ascii="宋体" w:hAnsi="宋体" w:cs="宋体"/>
                <w:color w:val="000000"/>
                <w:sz w:val="22"/>
                <w:szCs w:val="22"/>
              </w:rPr>
            </w:pPr>
            <w:r>
              <w:rPr>
                <w:rFonts w:hint="eastAsia"/>
                <w:color w:val="000000"/>
                <w:sz w:val="22"/>
                <w:szCs w:val="22"/>
              </w:rPr>
              <w:t>2</w:t>
            </w:r>
          </w:p>
        </w:tc>
        <w:tc>
          <w:tcPr>
            <w:tcW w:w="3615" w:type="dxa"/>
            <w:tcBorders>
              <w:top w:val="nil"/>
              <w:left w:val="nil"/>
              <w:bottom w:val="single" w:color="auto" w:sz="8" w:space="0"/>
              <w:right w:val="single" w:color="auto" w:sz="8" w:space="0"/>
            </w:tcBorders>
            <w:shd w:val="clear" w:color="auto" w:fill="auto"/>
            <w:vAlign w:val="center"/>
          </w:tcPr>
          <w:p w14:paraId="780F2505">
            <w:pPr>
              <w:widowControl/>
              <w:jc w:val="left"/>
              <w:rPr>
                <w:rFonts w:ascii="宋体" w:hAnsi="宋体" w:cs="宋体"/>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19FD6EFB">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6F8F52FA">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77F42A22">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64308A69">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0079135D">
            <w:pPr>
              <w:widowControl/>
              <w:jc w:val="center"/>
              <w:rPr>
                <w:rFonts w:ascii="宋体" w:hAnsi="宋体" w:cs="宋体"/>
                <w:color w:val="000000"/>
                <w:sz w:val="22"/>
                <w:szCs w:val="22"/>
                <w:highlight w:val="yellow"/>
              </w:rPr>
            </w:pPr>
          </w:p>
        </w:tc>
      </w:tr>
      <w:tr w14:paraId="244B87E6">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89D23DB">
            <w:pPr>
              <w:jc w:val="center"/>
              <w:rPr>
                <w:rFonts w:ascii="宋体" w:hAnsi="宋体" w:cs="宋体"/>
                <w:color w:val="000000"/>
                <w:sz w:val="22"/>
                <w:szCs w:val="22"/>
              </w:rPr>
            </w:pPr>
            <w:r>
              <w:rPr>
                <w:rFonts w:hint="eastAsia"/>
                <w:color w:val="000000"/>
                <w:sz w:val="22"/>
                <w:szCs w:val="22"/>
              </w:rPr>
              <w:t>3</w:t>
            </w:r>
          </w:p>
        </w:tc>
        <w:tc>
          <w:tcPr>
            <w:tcW w:w="3615" w:type="dxa"/>
            <w:tcBorders>
              <w:top w:val="nil"/>
              <w:left w:val="nil"/>
              <w:bottom w:val="single" w:color="auto" w:sz="8" w:space="0"/>
              <w:right w:val="single" w:color="auto" w:sz="8" w:space="0"/>
            </w:tcBorders>
            <w:shd w:val="clear" w:color="auto" w:fill="auto"/>
            <w:vAlign w:val="center"/>
          </w:tcPr>
          <w:p w14:paraId="10ED0C32">
            <w:pPr>
              <w:widowControl/>
              <w:jc w:val="left"/>
              <w:rPr>
                <w:rFonts w:ascii="宋体" w:hAnsi="宋体" w:cs="宋体"/>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5DF22B50">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73A16D92">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4B81B7B3">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066818D5">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1EF6550D">
            <w:pPr>
              <w:widowControl/>
              <w:jc w:val="center"/>
              <w:rPr>
                <w:rFonts w:ascii="宋体" w:hAnsi="宋体" w:cs="宋体"/>
                <w:color w:val="000000"/>
                <w:sz w:val="22"/>
                <w:szCs w:val="22"/>
                <w:highlight w:val="yellow"/>
              </w:rPr>
            </w:pPr>
          </w:p>
        </w:tc>
      </w:tr>
      <w:tr w14:paraId="35C2962E">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7FD9054">
            <w:pPr>
              <w:jc w:val="center"/>
              <w:rPr>
                <w:rFonts w:ascii="宋体" w:hAnsi="宋体" w:cs="宋体"/>
                <w:color w:val="000000"/>
                <w:sz w:val="22"/>
                <w:szCs w:val="22"/>
              </w:rPr>
            </w:pPr>
            <w:r>
              <w:rPr>
                <w:rFonts w:hint="eastAsia"/>
                <w:color w:val="000000"/>
                <w:sz w:val="22"/>
                <w:szCs w:val="22"/>
              </w:rPr>
              <w:t>4</w:t>
            </w:r>
          </w:p>
        </w:tc>
        <w:tc>
          <w:tcPr>
            <w:tcW w:w="3615" w:type="dxa"/>
            <w:tcBorders>
              <w:top w:val="nil"/>
              <w:left w:val="nil"/>
              <w:bottom w:val="single" w:color="auto" w:sz="8" w:space="0"/>
              <w:right w:val="single" w:color="auto" w:sz="8" w:space="0"/>
            </w:tcBorders>
            <w:shd w:val="clear" w:color="auto" w:fill="auto"/>
            <w:vAlign w:val="center"/>
          </w:tcPr>
          <w:p w14:paraId="505C0589">
            <w:pPr>
              <w:widowControl/>
              <w:jc w:val="left"/>
              <w:rPr>
                <w:rFonts w:ascii="宋体" w:hAnsi="宋体" w:cs="宋体"/>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1F3F6DE0">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164E6D3D">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283ECD65">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6780E324">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31EB8FA1">
            <w:pPr>
              <w:widowControl/>
              <w:jc w:val="center"/>
              <w:rPr>
                <w:rFonts w:ascii="宋体" w:hAnsi="宋体" w:cs="宋体"/>
                <w:color w:val="000000"/>
                <w:sz w:val="22"/>
                <w:szCs w:val="22"/>
                <w:highlight w:val="yellow"/>
              </w:rPr>
            </w:pPr>
          </w:p>
        </w:tc>
      </w:tr>
      <w:tr w14:paraId="5C0614F7">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DFD73B9">
            <w:pPr>
              <w:jc w:val="center"/>
              <w:rPr>
                <w:rFonts w:ascii="宋体" w:hAnsi="宋体" w:cs="宋体"/>
                <w:color w:val="000000"/>
                <w:sz w:val="22"/>
                <w:szCs w:val="22"/>
              </w:rPr>
            </w:pPr>
            <w:r>
              <w:rPr>
                <w:rFonts w:hint="eastAsia"/>
                <w:color w:val="000000"/>
                <w:sz w:val="22"/>
                <w:szCs w:val="22"/>
              </w:rPr>
              <w:t>5</w:t>
            </w:r>
          </w:p>
        </w:tc>
        <w:tc>
          <w:tcPr>
            <w:tcW w:w="3615" w:type="dxa"/>
            <w:tcBorders>
              <w:top w:val="nil"/>
              <w:left w:val="nil"/>
              <w:bottom w:val="single" w:color="auto" w:sz="8" w:space="0"/>
              <w:right w:val="single" w:color="auto" w:sz="8" w:space="0"/>
            </w:tcBorders>
            <w:shd w:val="clear" w:color="auto" w:fill="auto"/>
            <w:vAlign w:val="center"/>
          </w:tcPr>
          <w:p w14:paraId="627DE7C7">
            <w:pPr>
              <w:widowControl/>
              <w:jc w:val="left"/>
              <w:rPr>
                <w:rFonts w:ascii="宋体" w:hAnsi="宋体" w:cs="宋体"/>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4167E76A">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5FB5D9BC">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4E01FAFF">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1B020EFE">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08B522BE">
            <w:pPr>
              <w:widowControl/>
              <w:jc w:val="center"/>
              <w:rPr>
                <w:rFonts w:ascii="宋体" w:hAnsi="宋体" w:cs="宋体"/>
                <w:color w:val="000000"/>
                <w:sz w:val="22"/>
                <w:szCs w:val="22"/>
                <w:highlight w:val="yellow"/>
              </w:rPr>
            </w:pPr>
          </w:p>
        </w:tc>
      </w:tr>
      <w:tr w14:paraId="5F58F27C">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F05B174">
            <w:pPr>
              <w:jc w:val="center"/>
              <w:rPr>
                <w:rFonts w:ascii="宋体" w:hAnsi="宋体" w:cs="宋体"/>
                <w:color w:val="000000"/>
                <w:sz w:val="22"/>
                <w:szCs w:val="22"/>
              </w:rPr>
            </w:pPr>
            <w:r>
              <w:rPr>
                <w:rFonts w:hint="eastAsia"/>
                <w:color w:val="000000"/>
                <w:sz w:val="22"/>
                <w:szCs w:val="22"/>
              </w:rPr>
              <w:t>6</w:t>
            </w:r>
          </w:p>
        </w:tc>
        <w:tc>
          <w:tcPr>
            <w:tcW w:w="3615" w:type="dxa"/>
            <w:tcBorders>
              <w:top w:val="nil"/>
              <w:left w:val="nil"/>
              <w:bottom w:val="single" w:color="auto" w:sz="8" w:space="0"/>
              <w:right w:val="single" w:color="auto" w:sz="8" w:space="0"/>
            </w:tcBorders>
            <w:shd w:val="clear" w:color="auto" w:fill="auto"/>
            <w:vAlign w:val="center"/>
          </w:tcPr>
          <w:p w14:paraId="6CBF3D4A">
            <w:pPr>
              <w:widowControl/>
              <w:jc w:val="left"/>
              <w:rPr>
                <w:rFonts w:ascii="宋体" w:hAnsi="宋体" w:cs="宋体"/>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574F7DCA">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22C7F2AB">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613FB75F">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46BA8C0E">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784073CE">
            <w:pPr>
              <w:widowControl/>
              <w:jc w:val="center"/>
              <w:rPr>
                <w:rFonts w:ascii="宋体" w:hAnsi="宋体" w:cs="宋体"/>
                <w:color w:val="000000"/>
                <w:sz w:val="22"/>
                <w:szCs w:val="22"/>
                <w:highlight w:val="yellow"/>
              </w:rPr>
            </w:pPr>
          </w:p>
        </w:tc>
      </w:tr>
      <w:tr w14:paraId="153EF748">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B7FFA91">
            <w:pPr>
              <w:jc w:val="center"/>
              <w:rPr>
                <w:color w:val="000000"/>
                <w:sz w:val="22"/>
                <w:szCs w:val="22"/>
              </w:rPr>
            </w:pPr>
            <w:r>
              <w:rPr>
                <w:rFonts w:hint="eastAsia"/>
                <w:color w:val="000000"/>
                <w:sz w:val="22"/>
                <w:szCs w:val="22"/>
              </w:rPr>
              <w:t>7</w:t>
            </w:r>
          </w:p>
        </w:tc>
        <w:tc>
          <w:tcPr>
            <w:tcW w:w="3615" w:type="dxa"/>
            <w:tcBorders>
              <w:top w:val="nil"/>
              <w:left w:val="nil"/>
              <w:bottom w:val="single" w:color="auto" w:sz="8" w:space="0"/>
              <w:right w:val="single" w:color="auto" w:sz="8" w:space="0"/>
            </w:tcBorders>
            <w:shd w:val="clear" w:color="auto" w:fill="auto"/>
            <w:vAlign w:val="center"/>
          </w:tcPr>
          <w:p w14:paraId="3CDF3D46">
            <w:pPr>
              <w:widowControl/>
              <w:jc w:val="left"/>
              <w:rPr>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5422B6D9">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5BA357F8">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541DE691">
            <w:pPr>
              <w:jc w:val="center"/>
              <w:rPr>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72E160E8">
            <w:pPr>
              <w:rPr>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19DC6665">
            <w:pPr>
              <w:widowControl/>
              <w:jc w:val="center"/>
              <w:rPr>
                <w:color w:val="000000"/>
                <w:sz w:val="22"/>
                <w:szCs w:val="22"/>
                <w:highlight w:val="yellow"/>
              </w:rPr>
            </w:pPr>
          </w:p>
        </w:tc>
      </w:tr>
      <w:tr w14:paraId="6D7CD96F">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CEA65E8">
            <w:pPr>
              <w:jc w:val="center"/>
              <w:rPr>
                <w:color w:val="000000"/>
                <w:sz w:val="22"/>
                <w:szCs w:val="22"/>
              </w:rPr>
            </w:pPr>
            <w:r>
              <w:rPr>
                <w:rFonts w:hint="eastAsia"/>
                <w:color w:val="000000"/>
                <w:sz w:val="22"/>
                <w:szCs w:val="22"/>
              </w:rPr>
              <w:t>8</w:t>
            </w:r>
          </w:p>
        </w:tc>
        <w:tc>
          <w:tcPr>
            <w:tcW w:w="3615" w:type="dxa"/>
            <w:tcBorders>
              <w:top w:val="nil"/>
              <w:left w:val="nil"/>
              <w:bottom w:val="single" w:color="auto" w:sz="8" w:space="0"/>
              <w:right w:val="single" w:color="auto" w:sz="8" w:space="0"/>
            </w:tcBorders>
            <w:shd w:val="clear" w:color="auto" w:fill="auto"/>
            <w:vAlign w:val="center"/>
          </w:tcPr>
          <w:p w14:paraId="1128DCC1">
            <w:pPr>
              <w:widowControl/>
              <w:jc w:val="left"/>
              <w:rPr>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24D7F81F">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7627D0AA">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581DAF1D">
            <w:pPr>
              <w:jc w:val="center"/>
              <w:rPr>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11714E50">
            <w:pPr>
              <w:rPr>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56DF91E3">
            <w:pPr>
              <w:widowControl/>
              <w:jc w:val="center"/>
              <w:rPr>
                <w:color w:val="000000"/>
                <w:sz w:val="22"/>
                <w:szCs w:val="22"/>
                <w:highlight w:val="yellow"/>
              </w:rPr>
            </w:pPr>
          </w:p>
        </w:tc>
      </w:tr>
      <w:tr w14:paraId="7D37F0F9">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05E42FD">
            <w:pPr>
              <w:jc w:val="center"/>
              <w:rPr>
                <w:color w:val="000000"/>
                <w:sz w:val="22"/>
                <w:szCs w:val="22"/>
              </w:rPr>
            </w:pPr>
            <w:r>
              <w:rPr>
                <w:rFonts w:hint="eastAsia"/>
                <w:color w:val="000000"/>
                <w:sz w:val="22"/>
                <w:szCs w:val="22"/>
              </w:rPr>
              <w:t>9</w:t>
            </w:r>
          </w:p>
        </w:tc>
        <w:tc>
          <w:tcPr>
            <w:tcW w:w="3615" w:type="dxa"/>
            <w:tcBorders>
              <w:top w:val="nil"/>
              <w:left w:val="nil"/>
              <w:bottom w:val="single" w:color="auto" w:sz="8" w:space="0"/>
              <w:right w:val="single" w:color="auto" w:sz="8" w:space="0"/>
            </w:tcBorders>
            <w:shd w:val="clear" w:color="auto" w:fill="auto"/>
            <w:vAlign w:val="center"/>
          </w:tcPr>
          <w:p w14:paraId="2A12D117">
            <w:pPr>
              <w:widowControl/>
              <w:jc w:val="left"/>
              <w:rPr>
                <w:rFonts w:ascii="宋体" w:hAnsi="宋体" w:cs="宋体"/>
                <w:color w:val="000000"/>
                <w:kern w:val="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1591CB11">
            <w:pPr>
              <w:jc w:val="center"/>
              <w:rPr>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70CBD356">
            <w:pPr>
              <w:jc w:val="center"/>
              <w:rPr>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63C7572D">
            <w:pPr>
              <w:jc w:val="center"/>
              <w:rPr>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47FF7F5A">
            <w:pPr>
              <w:rPr>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528BC8A7">
            <w:pPr>
              <w:widowControl/>
              <w:jc w:val="center"/>
              <w:rPr>
                <w:color w:val="000000"/>
                <w:sz w:val="22"/>
                <w:szCs w:val="22"/>
                <w:highlight w:val="yellow"/>
              </w:rPr>
            </w:pPr>
          </w:p>
        </w:tc>
      </w:tr>
      <w:tr w14:paraId="3869ECFC">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6DEEE1A">
            <w:pPr>
              <w:jc w:val="center"/>
              <w:rPr>
                <w:color w:val="000000"/>
                <w:sz w:val="22"/>
                <w:szCs w:val="22"/>
              </w:rPr>
            </w:pPr>
            <w:r>
              <w:rPr>
                <w:rFonts w:hint="eastAsia"/>
                <w:color w:val="000000"/>
                <w:sz w:val="22"/>
                <w:szCs w:val="22"/>
              </w:rPr>
              <w:t>10</w:t>
            </w:r>
          </w:p>
        </w:tc>
        <w:tc>
          <w:tcPr>
            <w:tcW w:w="3615" w:type="dxa"/>
            <w:tcBorders>
              <w:top w:val="nil"/>
              <w:left w:val="nil"/>
              <w:bottom w:val="single" w:color="auto" w:sz="8" w:space="0"/>
              <w:right w:val="single" w:color="auto" w:sz="8" w:space="0"/>
            </w:tcBorders>
            <w:shd w:val="clear" w:color="auto" w:fill="auto"/>
            <w:vAlign w:val="center"/>
          </w:tcPr>
          <w:p w14:paraId="4FECA699">
            <w:pPr>
              <w:widowControl/>
              <w:jc w:val="left"/>
              <w:rPr>
                <w:rFonts w:ascii="宋体" w:hAnsi="宋体" w:cs="宋体"/>
                <w:color w:val="000000"/>
                <w:kern w:val="0"/>
                <w:sz w:val="22"/>
                <w:szCs w:val="22"/>
              </w:rPr>
            </w:pPr>
          </w:p>
        </w:tc>
        <w:tc>
          <w:tcPr>
            <w:tcW w:w="835" w:type="dxa"/>
            <w:tcBorders>
              <w:top w:val="nil"/>
              <w:left w:val="nil"/>
              <w:bottom w:val="single" w:color="auto" w:sz="8" w:space="0"/>
              <w:right w:val="single" w:color="auto" w:sz="8" w:space="0"/>
            </w:tcBorders>
            <w:shd w:val="clear" w:color="auto" w:fill="auto"/>
            <w:vAlign w:val="center"/>
          </w:tcPr>
          <w:p w14:paraId="4E20AB51">
            <w:pPr>
              <w:jc w:val="center"/>
              <w:rPr>
                <w:color w:val="000000"/>
                <w:sz w:val="22"/>
                <w:szCs w:val="22"/>
              </w:rPr>
            </w:pPr>
          </w:p>
        </w:tc>
        <w:tc>
          <w:tcPr>
            <w:tcW w:w="936" w:type="dxa"/>
            <w:tcBorders>
              <w:top w:val="nil"/>
              <w:left w:val="nil"/>
              <w:bottom w:val="single" w:color="auto" w:sz="8" w:space="0"/>
              <w:right w:val="single" w:color="auto" w:sz="8" w:space="0"/>
            </w:tcBorders>
            <w:shd w:val="clear" w:color="auto" w:fill="auto"/>
            <w:vAlign w:val="center"/>
          </w:tcPr>
          <w:p w14:paraId="2334D399">
            <w:pPr>
              <w:jc w:val="center"/>
              <w:rPr>
                <w:color w:val="000000"/>
                <w:sz w:val="22"/>
                <w:szCs w:val="22"/>
              </w:rPr>
            </w:pPr>
          </w:p>
        </w:tc>
        <w:tc>
          <w:tcPr>
            <w:tcW w:w="2104" w:type="dxa"/>
            <w:tcBorders>
              <w:top w:val="nil"/>
              <w:left w:val="nil"/>
              <w:bottom w:val="single" w:color="auto" w:sz="8" w:space="0"/>
              <w:right w:val="single" w:color="auto" w:sz="8" w:space="0"/>
            </w:tcBorders>
            <w:shd w:val="clear" w:color="auto" w:fill="auto"/>
            <w:vAlign w:val="center"/>
          </w:tcPr>
          <w:p w14:paraId="1884C65D">
            <w:pPr>
              <w:jc w:val="center"/>
              <w:rPr>
                <w:color w:val="000000"/>
                <w:sz w:val="22"/>
                <w:szCs w:val="22"/>
              </w:rPr>
            </w:pPr>
          </w:p>
        </w:tc>
        <w:tc>
          <w:tcPr>
            <w:tcW w:w="910" w:type="dxa"/>
            <w:tcBorders>
              <w:top w:val="nil"/>
              <w:left w:val="nil"/>
              <w:bottom w:val="single" w:color="auto" w:sz="8" w:space="0"/>
              <w:right w:val="single" w:color="auto" w:sz="8" w:space="0"/>
            </w:tcBorders>
            <w:shd w:val="clear" w:color="auto" w:fill="auto"/>
            <w:vAlign w:val="center"/>
          </w:tcPr>
          <w:p w14:paraId="34C4B893">
            <w:pPr>
              <w:rPr>
                <w:color w:val="000000"/>
                <w:sz w:val="22"/>
                <w:szCs w:val="22"/>
              </w:rPr>
            </w:pPr>
          </w:p>
        </w:tc>
        <w:tc>
          <w:tcPr>
            <w:tcW w:w="4153" w:type="dxa"/>
            <w:tcBorders>
              <w:top w:val="nil"/>
              <w:left w:val="nil"/>
              <w:bottom w:val="single" w:color="auto" w:sz="8" w:space="0"/>
              <w:right w:val="single" w:color="auto" w:sz="8" w:space="0"/>
            </w:tcBorders>
            <w:shd w:val="clear" w:color="auto" w:fill="auto"/>
            <w:vAlign w:val="center"/>
          </w:tcPr>
          <w:p w14:paraId="6F930254">
            <w:pPr>
              <w:widowControl/>
              <w:jc w:val="center"/>
              <w:rPr>
                <w:color w:val="000000"/>
                <w:sz w:val="22"/>
                <w:szCs w:val="22"/>
              </w:rPr>
            </w:pPr>
          </w:p>
        </w:tc>
      </w:tr>
      <w:tr w14:paraId="56E5B45A">
        <w:tblPrEx>
          <w:tblCellMar>
            <w:top w:w="0" w:type="dxa"/>
            <w:left w:w="108" w:type="dxa"/>
            <w:bottom w:w="0" w:type="dxa"/>
            <w:right w:w="108" w:type="dxa"/>
          </w:tblCellMar>
        </w:tblPrEx>
        <w:trPr>
          <w:trHeight w:val="437" w:hRule="atLeast"/>
        </w:trPr>
        <w:tc>
          <w:tcPr>
            <w:tcW w:w="8250" w:type="dxa"/>
            <w:gridSpan w:val="5"/>
            <w:tcBorders>
              <w:top w:val="nil"/>
              <w:left w:val="single" w:color="auto" w:sz="8" w:space="0"/>
              <w:bottom w:val="single" w:color="auto" w:sz="8" w:space="0"/>
              <w:right w:val="single" w:color="auto" w:sz="4" w:space="0"/>
            </w:tcBorders>
            <w:shd w:val="clear" w:color="auto" w:fill="auto"/>
            <w:vAlign w:val="center"/>
          </w:tcPr>
          <w:p w14:paraId="471851D8">
            <w:pPr>
              <w:jc w:val="center"/>
              <w:rPr>
                <w:color w:val="000000"/>
                <w:sz w:val="22"/>
                <w:szCs w:val="22"/>
              </w:rPr>
            </w:pPr>
            <w:r>
              <w:rPr>
                <w:rFonts w:hint="eastAsia"/>
                <w:color w:val="000000"/>
                <w:sz w:val="22"/>
                <w:szCs w:val="22"/>
              </w:rPr>
              <w:t>合计</w:t>
            </w:r>
          </w:p>
        </w:tc>
        <w:tc>
          <w:tcPr>
            <w:tcW w:w="910" w:type="dxa"/>
            <w:tcBorders>
              <w:top w:val="nil"/>
              <w:left w:val="single" w:color="auto" w:sz="4" w:space="0"/>
              <w:bottom w:val="single" w:color="auto" w:sz="8" w:space="0"/>
              <w:right w:val="single" w:color="auto" w:sz="8" w:space="0"/>
            </w:tcBorders>
            <w:shd w:val="clear" w:color="auto" w:fill="auto"/>
            <w:vAlign w:val="center"/>
          </w:tcPr>
          <w:p w14:paraId="3BF8B450">
            <w:pPr>
              <w:rPr>
                <w:color w:val="000000"/>
                <w:sz w:val="22"/>
                <w:szCs w:val="22"/>
              </w:rPr>
            </w:pPr>
          </w:p>
        </w:tc>
        <w:tc>
          <w:tcPr>
            <w:tcW w:w="4153" w:type="dxa"/>
            <w:tcBorders>
              <w:top w:val="nil"/>
              <w:left w:val="nil"/>
              <w:bottom w:val="single" w:color="auto" w:sz="8" w:space="0"/>
              <w:right w:val="single" w:color="auto" w:sz="8" w:space="0"/>
            </w:tcBorders>
            <w:shd w:val="clear" w:color="auto" w:fill="auto"/>
            <w:vAlign w:val="center"/>
          </w:tcPr>
          <w:p w14:paraId="2ACAB884">
            <w:pPr>
              <w:rPr>
                <w:color w:val="000000"/>
                <w:sz w:val="22"/>
                <w:szCs w:val="22"/>
              </w:rPr>
            </w:pPr>
          </w:p>
        </w:tc>
      </w:tr>
      <w:tr w14:paraId="5E0D53E0">
        <w:tblPrEx>
          <w:tblCellMar>
            <w:top w:w="0" w:type="dxa"/>
            <w:left w:w="108" w:type="dxa"/>
            <w:bottom w:w="0" w:type="dxa"/>
            <w:right w:w="108" w:type="dxa"/>
          </w:tblCellMar>
        </w:tblPrEx>
        <w:trPr>
          <w:trHeight w:val="285"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34C71539">
            <w:pPr>
              <w:rPr>
                <w:rFonts w:ascii="宋体" w:hAnsi="宋体" w:cs="宋体"/>
                <w:color w:val="000000"/>
                <w:sz w:val="22"/>
                <w:szCs w:val="22"/>
              </w:rPr>
            </w:pPr>
            <w:r>
              <w:rPr>
                <w:rFonts w:hint="eastAsia"/>
                <w:color w:val="000000"/>
                <w:sz w:val="22"/>
                <w:szCs w:val="22"/>
              </w:rPr>
              <w:t>说明：1、投标单位需严格按照此格式进行报价。</w:t>
            </w:r>
          </w:p>
        </w:tc>
      </w:tr>
      <w:tr w14:paraId="46DBE010">
        <w:tblPrEx>
          <w:tblCellMar>
            <w:top w:w="0" w:type="dxa"/>
            <w:left w:w="108" w:type="dxa"/>
            <w:bottom w:w="0" w:type="dxa"/>
            <w:right w:w="108" w:type="dxa"/>
          </w:tblCellMar>
        </w:tblPrEx>
        <w:trPr>
          <w:trHeight w:val="540"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40283AD0">
            <w:pPr>
              <w:rPr>
                <w:rFonts w:ascii="宋体" w:hAnsi="宋体" w:cs="宋体"/>
                <w:color w:val="000000"/>
                <w:sz w:val="22"/>
                <w:szCs w:val="22"/>
              </w:rPr>
            </w:pPr>
            <w:r>
              <w:rPr>
                <w:rFonts w:hint="eastAsia"/>
                <w:color w:val="000000"/>
                <w:sz w:val="22"/>
                <w:szCs w:val="22"/>
              </w:rPr>
              <w:t>2、投标人需要根据表格容量进行报价，单个产品合计价格须与报价汇总表单价保持一致。</w:t>
            </w:r>
          </w:p>
        </w:tc>
      </w:tr>
      <w:tr w14:paraId="26BE7CA1">
        <w:tblPrEx>
          <w:tblCellMar>
            <w:top w:w="0" w:type="dxa"/>
            <w:left w:w="108" w:type="dxa"/>
            <w:bottom w:w="0" w:type="dxa"/>
            <w:right w:w="108" w:type="dxa"/>
          </w:tblCellMar>
        </w:tblPrEx>
        <w:trPr>
          <w:trHeight w:val="540"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0C9B0679">
            <w:pPr>
              <w:rPr>
                <w:rFonts w:ascii="宋体" w:hAnsi="宋体" w:cs="宋体"/>
                <w:color w:val="00000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3、本招标为年度框架招标，本报价仅列出常用型号，用户报价时需提供产品样本及价格表，如采购时产生不在本报价型号的产品型号，则产品单价将按对应中标金额与面价表比例进行计算。</w:t>
            </w:r>
          </w:p>
        </w:tc>
      </w:tr>
    </w:tbl>
    <w:p w14:paraId="48F030DD">
      <w:pPr>
        <w:topLinePunct/>
      </w:pPr>
    </w:p>
    <w:tbl>
      <w:tblPr>
        <w:tblStyle w:val="38"/>
        <w:tblW w:w="13180" w:type="dxa"/>
        <w:tblInd w:w="97" w:type="dxa"/>
        <w:tblLayout w:type="fixed"/>
        <w:tblCellMar>
          <w:top w:w="0" w:type="dxa"/>
          <w:left w:w="108" w:type="dxa"/>
          <w:bottom w:w="0" w:type="dxa"/>
          <w:right w:w="108" w:type="dxa"/>
        </w:tblCellMar>
      </w:tblPr>
      <w:tblGrid>
        <w:gridCol w:w="740"/>
        <w:gridCol w:w="2691"/>
        <w:gridCol w:w="3555"/>
        <w:gridCol w:w="739"/>
        <w:gridCol w:w="739"/>
        <w:gridCol w:w="1795"/>
        <w:gridCol w:w="739"/>
        <w:gridCol w:w="1443"/>
        <w:gridCol w:w="739"/>
      </w:tblGrid>
      <w:tr w14:paraId="1C587214">
        <w:tblPrEx>
          <w:tblCellMar>
            <w:top w:w="0" w:type="dxa"/>
            <w:left w:w="108" w:type="dxa"/>
            <w:bottom w:w="0" w:type="dxa"/>
            <w:right w:w="108" w:type="dxa"/>
          </w:tblCellMar>
        </w:tblPrEx>
        <w:trPr>
          <w:trHeight w:val="54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2F107F95">
            <w:pPr>
              <w:widowControl/>
              <w:jc w:val="center"/>
              <w:rPr>
                <w:rFonts w:ascii="宋体" w:hAnsi="宋体" w:cs="宋体"/>
                <w:color w:val="000000"/>
                <w:kern w:val="0"/>
                <w:sz w:val="22"/>
                <w:szCs w:val="22"/>
              </w:rPr>
            </w:pPr>
            <w:r>
              <w:rPr>
                <w:rFonts w:hint="eastAsia" w:ascii="宋体" w:hAnsi="宋体" w:cs="宋体"/>
                <w:color w:val="000000"/>
                <w:kern w:val="0"/>
                <w:sz w:val="22"/>
                <w:szCs w:val="22"/>
              </w:rPr>
              <w:t>货物单价分析表</w:t>
            </w:r>
          </w:p>
        </w:tc>
      </w:tr>
      <w:tr w14:paraId="2F82B899">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14:paraId="6534B6DF">
            <w:pPr>
              <w:widowControl/>
              <w:jc w:val="left"/>
              <w:rPr>
                <w:rFonts w:ascii="宋体" w:hAnsi="宋体" w:cs="宋体"/>
                <w:color w:val="000000"/>
                <w:kern w:val="0"/>
                <w:sz w:val="22"/>
                <w:szCs w:val="22"/>
              </w:rPr>
            </w:pPr>
            <w:r>
              <w:rPr>
                <w:rFonts w:hint="eastAsia" w:ascii="宋体" w:hAnsi="宋体" w:cs="宋体"/>
                <w:color w:val="000000"/>
                <w:kern w:val="0"/>
                <w:sz w:val="22"/>
                <w:szCs w:val="22"/>
              </w:rPr>
              <w:t>产品说明：填写所分析货物的详细组件价格</w:t>
            </w:r>
          </w:p>
        </w:tc>
      </w:tr>
      <w:tr w14:paraId="63C88FEA">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0734F998">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2691" w:type="dxa"/>
            <w:tcBorders>
              <w:top w:val="nil"/>
              <w:left w:val="nil"/>
              <w:bottom w:val="single" w:color="auto" w:sz="4" w:space="0"/>
              <w:right w:val="single" w:color="auto" w:sz="4" w:space="0"/>
            </w:tcBorders>
            <w:shd w:val="clear" w:color="auto" w:fill="auto"/>
            <w:vAlign w:val="center"/>
          </w:tcPr>
          <w:p w14:paraId="6E3C4D41">
            <w:pPr>
              <w:widowControl/>
              <w:jc w:val="center"/>
              <w:rPr>
                <w:rFonts w:ascii="宋体" w:hAnsi="宋体" w:cs="宋体"/>
                <w:color w:val="000000"/>
                <w:kern w:val="0"/>
                <w:sz w:val="22"/>
                <w:szCs w:val="22"/>
              </w:rPr>
            </w:pPr>
            <w:r>
              <w:rPr>
                <w:rFonts w:hint="eastAsia" w:ascii="宋体" w:hAnsi="宋体" w:cs="宋体"/>
                <w:color w:val="000000"/>
                <w:kern w:val="0"/>
                <w:sz w:val="22"/>
                <w:szCs w:val="22"/>
              </w:rPr>
              <w:t>组件名称</w:t>
            </w:r>
          </w:p>
        </w:tc>
        <w:tc>
          <w:tcPr>
            <w:tcW w:w="3555" w:type="dxa"/>
            <w:tcBorders>
              <w:top w:val="nil"/>
              <w:left w:val="nil"/>
              <w:bottom w:val="single" w:color="auto" w:sz="4" w:space="0"/>
              <w:right w:val="single" w:color="auto" w:sz="4" w:space="0"/>
            </w:tcBorders>
            <w:shd w:val="clear" w:color="auto" w:fill="auto"/>
            <w:vAlign w:val="center"/>
          </w:tcPr>
          <w:p w14:paraId="7E010973">
            <w:pPr>
              <w:widowControl/>
              <w:jc w:val="center"/>
              <w:rPr>
                <w:rFonts w:ascii="宋体" w:hAnsi="宋体" w:cs="宋体"/>
                <w:color w:val="000000"/>
                <w:kern w:val="0"/>
                <w:sz w:val="22"/>
                <w:szCs w:val="22"/>
              </w:rPr>
            </w:pPr>
            <w:r>
              <w:rPr>
                <w:rFonts w:hint="eastAsia" w:ascii="宋体" w:hAnsi="宋体" w:cs="宋体"/>
                <w:color w:val="000000"/>
                <w:kern w:val="0"/>
                <w:sz w:val="22"/>
                <w:szCs w:val="22"/>
              </w:rPr>
              <w:t>组部件型号及参数描述</w:t>
            </w:r>
          </w:p>
        </w:tc>
        <w:tc>
          <w:tcPr>
            <w:tcW w:w="739" w:type="dxa"/>
            <w:tcBorders>
              <w:top w:val="nil"/>
              <w:left w:val="nil"/>
              <w:bottom w:val="single" w:color="auto" w:sz="4" w:space="0"/>
              <w:right w:val="single" w:color="auto" w:sz="4" w:space="0"/>
            </w:tcBorders>
            <w:shd w:val="clear" w:color="auto" w:fill="auto"/>
            <w:vAlign w:val="center"/>
          </w:tcPr>
          <w:p w14:paraId="5014F9B8">
            <w:pPr>
              <w:widowControl/>
              <w:jc w:val="center"/>
              <w:rPr>
                <w:rFonts w:ascii="宋体" w:hAnsi="宋体" w:cs="宋体"/>
                <w:color w:val="000000"/>
                <w:kern w:val="0"/>
                <w:sz w:val="22"/>
                <w:szCs w:val="22"/>
              </w:rPr>
            </w:pPr>
            <w:r>
              <w:rPr>
                <w:rFonts w:hint="eastAsia" w:ascii="宋体" w:hAnsi="宋体" w:cs="宋体"/>
                <w:color w:val="000000"/>
                <w:kern w:val="0"/>
                <w:sz w:val="22"/>
                <w:szCs w:val="22"/>
              </w:rPr>
              <w:t>单位</w:t>
            </w:r>
          </w:p>
        </w:tc>
        <w:tc>
          <w:tcPr>
            <w:tcW w:w="739" w:type="dxa"/>
            <w:tcBorders>
              <w:top w:val="nil"/>
              <w:left w:val="nil"/>
              <w:bottom w:val="single" w:color="auto" w:sz="4" w:space="0"/>
              <w:right w:val="single" w:color="auto" w:sz="4" w:space="0"/>
            </w:tcBorders>
            <w:shd w:val="clear" w:color="auto" w:fill="auto"/>
            <w:vAlign w:val="center"/>
          </w:tcPr>
          <w:p w14:paraId="2A8BD466">
            <w:pPr>
              <w:widowControl/>
              <w:jc w:val="center"/>
              <w:rPr>
                <w:rFonts w:ascii="宋体" w:hAnsi="宋体" w:cs="宋体"/>
                <w:color w:val="000000"/>
                <w:kern w:val="0"/>
                <w:sz w:val="22"/>
                <w:szCs w:val="22"/>
              </w:rPr>
            </w:pPr>
            <w:r>
              <w:rPr>
                <w:rFonts w:hint="eastAsia" w:ascii="宋体" w:hAnsi="宋体" w:cs="宋体"/>
                <w:color w:val="000000"/>
                <w:kern w:val="0"/>
                <w:sz w:val="22"/>
                <w:szCs w:val="22"/>
              </w:rPr>
              <w:t>数量</w:t>
            </w:r>
          </w:p>
        </w:tc>
        <w:tc>
          <w:tcPr>
            <w:tcW w:w="1795" w:type="dxa"/>
            <w:tcBorders>
              <w:top w:val="nil"/>
              <w:left w:val="nil"/>
              <w:bottom w:val="single" w:color="auto" w:sz="4" w:space="0"/>
              <w:right w:val="single" w:color="auto" w:sz="4" w:space="0"/>
            </w:tcBorders>
            <w:shd w:val="clear" w:color="auto" w:fill="auto"/>
            <w:vAlign w:val="center"/>
          </w:tcPr>
          <w:p w14:paraId="6DD2930A">
            <w:pPr>
              <w:widowControl/>
              <w:jc w:val="center"/>
              <w:rPr>
                <w:rFonts w:ascii="宋体" w:hAnsi="宋体" w:cs="宋体"/>
                <w:color w:val="000000"/>
                <w:kern w:val="0"/>
                <w:sz w:val="22"/>
                <w:szCs w:val="22"/>
              </w:rPr>
            </w:pPr>
            <w:r>
              <w:rPr>
                <w:rFonts w:hint="eastAsia" w:ascii="宋体" w:hAnsi="宋体" w:cs="宋体"/>
                <w:color w:val="000000"/>
                <w:kern w:val="0"/>
                <w:sz w:val="22"/>
                <w:szCs w:val="22"/>
              </w:rPr>
              <w:t>单价（元）</w:t>
            </w:r>
          </w:p>
        </w:tc>
        <w:tc>
          <w:tcPr>
            <w:tcW w:w="739" w:type="dxa"/>
            <w:tcBorders>
              <w:top w:val="nil"/>
              <w:left w:val="nil"/>
              <w:bottom w:val="single" w:color="auto" w:sz="4" w:space="0"/>
              <w:right w:val="single" w:color="auto" w:sz="4" w:space="0"/>
            </w:tcBorders>
            <w:shd w:val="clear" w:color="auto" w:fill="auto"/>
            <w:vAlign w:val="center"/>
          </w:tcPr>
          <w:p w14:paraId="6814D09D">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443" w:type="dxa"/>
            <w:tcBorders>
              <w:top w:val="nil"/>
              <w:left w:val="nil"/>
              <w:bottom w:val="single" w:color="auto" w:sz="4" w:space="0"/>
              <w:right w:val="single" w:color="auto" w:sz="4" w:space="0"/>
            </w:tcBorders>
            <w:shd w:val="clear" w:color="auto" w:fill="auto"/>
            <w:vAlign w:val="center"/>
          </w:tcPr>
          <w:p w14:paraId="10909A86">
            <w:pPr>
              <w:widowControl/>
              <w:jc w:val="center"/>
              <w:rPr>
                <w:rFonts w:ascii="宋体" w:hAnsi="宋体" w:cs="宋体"/>
                <w:color w:val="000000"/>
                <w:kern w:val="0"/>
                <w:sz w:val="22"/>
                <w:szCs w:val="22"/>
              </w:rPr>
            </w:pPr>
            <w:r>
              <w:rPr>
                <w:rFonts w:hint="eastAsia" w:ascii="宋体" w:hAnsi="宋体" w:cs="宋体"/>
                <w:color w:val="000000"/>
                <w:kern w:val="0"/>
                <w:sz w:val="22"/>
                <w:szCs w:val="22"/>
              </w:rPr>
              <w:t>生产厂家</w:t>
            </w:r>
          </w:p>
        </w:tc>
        <w:tc>
          <w:tcPr>
            <w:tcW w:w="739" w:type="dxa"/>
            <w:tcBorders>
              <w:top w:val="nil"/>
              <w:left w:val="nil"/>
              <w:bottom w:val="single" w:color="auto" w:sz="4" w:space="0"/>
              <w:right w:val="single" w:color="auto" w:sz="4" w:space="0"/>
            </w:tcBorders>
            <w:shd w:val="clear" w:color="auto" w:fill="auto"/>
            <w:vAlign w:val="center"/>
          </w:tcPr>
          <w:p w14:paraId="276E0590">
            <w:pPr>
              <w:widowControl/>
              <w:jc w:val="center"/>
              <w:rPr>
                <w:rFonts w:ascii="宋体" w:hAnsi="宋体" w:cs="宋体"/>
                <w:color w:val="000000"/>
                <w:kern w:val="0"/>
                <w:sz w:val="22"/>
                <w:szCs w:val="22"/>
              </w:rPr>
            </w:pPr>
            <w:r>
              <w:rPr>
                <w:rFonts w:hint="eastAsia" w:ascii="宋体" w:hAnsi="宋体" w:cs="宋体"/>
                <w:color w:val="000000"/>
                <w:kern w:val="0"/>
                <w:sz w:val="22"/>
                <w:szCs w:val="22"/>
              </w:rPr>
              <w:t>备注</w:t>
            </w:r>
          </w:p>
        </w:tc>
      </w:tr>
      <w:tr w14:paraId="02CCDF36">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752D6362">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691" w:type="dxa"/>
            <w:tcBorders>
              <w:top w:val="nil"/>
              <w:left w:val="nil"/>
              <w:bottom w:val="single" w:color="auto" w:sz="4" w:space="0"/>
              <w:right w:val="single" w:color="auto" w:sz="4" w:space="0"/>
            </w:tcBorders>
            <w:shd w:val="clear" w:color="auto" w:fill="auto"/>
            <w:vAlign w:val="center"/>
          </w:tcPr>
          <w:p w14:paraId="3C3EAE71">
            <w:pPr>
              <w:widowControl/>
              <w:jc w:val="left"/>
              <w:rPr>
                <w:rFonts w:ascii="宋体" w:hAnsi="宋体" w:cs="宋体"/>
                <w:color w:val="000000"/>
                <w:kern w:val="0"/>
                <w:sz w:val="22"/>
                <w:szCs w:val="22"/>
              </w:rPr>
            </w:pPr>
            <w:r>
              <w:rPr>
                <w:rFonts w:hint="eastAsia" w:ascii="宋体" w:hAnsi="宋体" w:cs="宋体"/>
                <w:color w:val="000000"/>
                <w:kern w:val="0"/>
                <w:sz w:val="22"/>
                <w:szCs w:val="22"/>
              </w:rPr>
              <w:t>模块</w:t>
            </w:r>
          </w:p>
        </w:tc>
        <w:tc>
          <w:tcPr>
            <w:tcW w:w="3555" w:type="dxa"/>
            <w:tcBorders>
              <w:top w:val="nil"/>
              <w:left w:val="nil"/>
              <w:bottom w:val="single" w:color="auto" w:sz="4" w:space="0"/>
              <w:right w:val="single" w:color="auto" w:sz="4" w:space="0"/>
            </w:tcBorders>
            <w:shd w:val="clear" w:color="auto" w:fill="auto"/>
            <w:vAlign w:val="center"/>
          </w:tcPr>
          <w:p w14:paraId="447F305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82B4C5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44FB1B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1DBBAD7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8591E1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024495A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15ECA3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5A0CE42D">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7B1E584D">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2691" w:type="dxa"/>
            <w:tcBorders>
              <w:top w:val="nil"/>
              <w:left w:val="nil"/>
              <w:bottom w:val="single" w:color="auto" w:sz="4" w:space="0"/>
              <w:right w:val="single" w:color="auto" w:sz="4" w:space="0"/>
            </w:tcBorders>
            <w:shd w:val="clear" w:color="auto" w:fill="auto"/>
            <w:vAlign w:val="center"/>
          </w:tcPr>
          <w:p w14:paraId="6295B4BB">
            <w:pPr>
              <w:widowControl/>
              <w:jc w:val="left"/>
              <w:rPr>
                <w:rFonts w:ascii="宋体" w:hAnsi="宋体" w:cs="宋体"/>
                <w:color w:val="000000"/>
                <w:kern w:val="0"/>
                <w:sz w:val="22"/>
                <w:szCs w:val="22"/>
              </w:rPr>
            </w:pPr>
            <w:r>
              <w:rPr>
                <w:rFonts w:hint="eastAsia" w:ascii="宋体" w:hAnsi="宋体" w:cs="宋体"/>
                <w:color w:val="000000"/>
                <w:kern w:val="0"/>
                <w:sz w:val="22"/>
                <w:szCs w:val="22"/>
              </w:rPr>
              <w:t>包装</w:t>
            </w:r>
          </w:p>
        </w:tc>
        <w:tc>
          <w:tcPr>
            <w:tcW w:w="3555" w:type="dxa"/>
            <w:tcBorders>
              <w:top w:val="nil"/>
              <w:left w:val="nil"/>
              <w:bottom w:val="single" w:color="auto" w:sz="4" w:space="0"/>
              <w:right w:val="single" w:color="auto" w:sz="4" w:space="0"/>
            </w:tcBorders>
            <w:shd w:val="clear" w:color="auto" w:fill="auto"/>
            <w:vAlign w:val="center"/>
          </w:tcPr>
          <w:p w14:paraId="1C1EC8F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357562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E90E98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1324FAE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E97652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188D9FD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BC0D2D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32B6E975">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01376483">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43019D35">
            <w:pPr>
              <w:widowControl/>
              <w:jc w:val="left"/>
              <w:rPr>
                <w:rFonts w:ascii="宋体" w:hAnsi="宋体" w:cs="宋体"/>
                <w:color w:val="000000"/>
                <w:kern w:val="0"/>
                <w:sz w:val="22"/>
                <w:szCs w:val="22"/>
              </w:rPr>
            </w:pPr>
            <w:r>
              <w:rPr>
                <w:rFonts w:hint="eastAsia" w:ascii="宋体" w:hAnsi="宋体" w:cs="宋体"/>
                <w:color w:val="000000"/>
                <w:kern w:val="0"/>
                <w:sz w:val="22"/>
                <w:szCs w:val="22"/>
              </w:rPr>
              <w:t>…</w:t>
            </w:r>
          </w:p>
        </w:tc>
        <w:tc>
          <w:tcPr>
            <w:tcW w:w="3555" w:type="dxa"/>
            <w:tcBorders>
              <w:top w:val="nil"/>
              <w:left w:val="nil"/>
              <w:bottom w:val="single" w:color="auto" w:sz="4" w:space="0"/>
              <w:right w:val="single" w:color="auto" w:sz="4" w:space="0"/>
            </w:tcBorders>
            <w:shd w:val="clear" w:color="auto" w:fill="auto"/>
            <w:vAlign w:val="center"/>
          </w:tcPr>
          <w:p w14:paraId="3302702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C60C9A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ED98F2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7F9207A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680714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0F7022F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353945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5F48E247">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26E56794">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2D26F9EB">
            <w:pPr>
              <w:widowControl/>
              <w:jc w:val="left"/>
              <w:rPr>
                <w:rFonts w:ascii="宋体" w:hAnsi="宋体" w:cs="宋体"/>
                <w:color w:val="000000"/>
                <w:kern w:val="0"/>
                <w:sz w:val="22"/>
                <w:szCs w:val="22"/>
              </w:rPr>
            </w:pPr>
            <w:r>
              <w:rPr>
                <w:rFonts w:hint="eastAsia" w:ascii="宋体" w:hAnsi="宋体" w:cs="宋体"/>
                <w:color w:val="000000"/>
                <w:kern w:val="0"/>
                <w:sz w:val="22"/>
                <w:szCs w:val="22"/>
              </w:rPr>
              <w:t>…</w:t>
            </w:r>
          </w:p>
        </w:tc>
        <w:tc>
          <w:tcPr>
            <w:tcW w:w="3555" w:type="dxa"/>
            <w:tcBorders>
              <w:top w:val="nil"/>
              <w:left w:val="nil"/>
              <w:bottom w:val="single" w:color="auto" w:sz="4" w:space="0"/>
              <w:right w:val="single" w:color="auto" w:sz="4" w:space="0"/>
            </w:tcBorders>
            <w:shd w:val="clear" w:color="auto" w:fill="auto"/>
            <w:vAlign w:val="center"/>
          </w:tcPr>
          <w:p w14:paraId="74C3E9F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4CE845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F6EFF6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32F047B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337FC8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7337E86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ED8EEF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05133E92">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63C3D50C">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2C39300B">
            <w:pPr>
              <w:widowControl/>
              <w:jc w:val="left"/>
              <w:rPr>
                <w:rFonts w:ascii="宋体" w:hAnsi="宋体" w:cs="宋体"/>
                <w:color w:val="000000"/>
                <w:kern w:val="0"/>
                <w:sz w:val="22"/>
                <w:szCs w:val="22"/>
              </w:rPr>
            </w:pPr>
            <w:r>
              <w:rPr>
                <w:rFonts w:hint="eastAsia" w:ascii="宋体" w:hAnsi="宋体" w:cs="宋体"/>
                <w:color w:val="000000"/>
                <w:kern w:val="0"/>
                <w:sz w:val="22"/>
                <w:szCs w:val="22"/>
              </w:rPr>
              <w:t>壳体</w:t>
            </w:r>
          </w:p>
        </w:tc>
        <w:tc>
          <w:tcPr>
            <w:tcW w:w="3555" w:type="dxa"/>
            <w:tcBorders>
              <w:top w:val="nil"/>
              <w:left w:val="nil"/>
              <w:bottom w:val="single" w:color="auto" w:sz="4" w:space="0"/>
              <w:right w:val="single" w:color="auto" w:sz="4" w:space="0"/>
            </w:tcBorders>
            <w:shd w:val="clear" w:color="auto" w:fill="auto"/>
            <w:vAlign w:val="center"/>
          </w:tcPr>
          <w:p w14:paraId="46D26AA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38237E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D0F88F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2E12C14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16134E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1EF3D6C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32B69D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6309ED82">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745E8D87">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0F91F71A">
            <w:pPr>
              <w:widowControl/>
              <w:jc w:val="left"/>
              <w:rPr>
                <w:rFonts w:ascii="宋体" w:hAnsi="宋体" w:cs="宋体"/>
                <w:color w:val="000000"/>
                <w:kern w:val="0"/>
                <w:sz w:val="22"/>
                <w:szCs w:val="22"/>
              </w:rPr>
            </w:pPr>
            <w:r>
              <w:rPr>
                <w:rFonts w:hint="eastAsia" w:ascii="宋体" w:hAnsi="宋体" w:cs="宋体"/>
                <w:color w:val="000000"/>
                <w:kern w:val="0"/>
                <w:sz w:val="22"/>
                <w:szCs w:val="22"/>
              </w:rPr>
              <w:t>运输费</w:t>
            </w:r>
          </w:p>
        </w:tc>
        <w:tc>
          <w:tcPr>
            <w:tcW w:w="3555" w:type="dxa"/>
            <w:tcBorders>
              <w:top w:val="nil"/>
              <w:left w:val="nil"/>
              <w:bottom w:val="single" w:color="auto" w:sz="4" w:space="0"/>
              <w:right w:val="single" w:color="auto" w:sz="4" w:space="0"/>
            </w:tcBorders>
            <w:shd w:val="clear" w:color="auto" w:fill="auto"/>
            <w:vAlign w:val="center"/>
          </w:tcPr>
          <w:p w14:paraId="27697B5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823C92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DFCA62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531281A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75CBFB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13284A2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2A305A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0B2C6810">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3B27E841">
            <w:pPr>
              <w:widowControl/>
              <w:jc w:val="both"/>
              <w:rPr>
                <w:rFonts w:ascii="宋体" w:hAnsi="宋体" w:cs="宋体"/>
                <w:color w:val="000000"/>
                <w:kern w:val="0"/>
                <w:sz w:val="22"/>
                <w:szCs w:val="22"/>
              </w:rPr>
            </w:pPr>
          </w:p>
        </w:tc>
        <w:tc>
          <w:tcPr>
            <w:tcW w:w="2691" w:type="dxa"/>
            <w:tcBorders>
              <w:top w:val="nil"/>
              <w:left w:val="nil"/>
              <w:bottom w:val="single" w:color="auto" w:sz="4" w:space="0"/>
              <w:right w:val="single" w:color="auto" w:sz="4" w:space="0"/>
            </w:tcBorders>
            <w:shd w:val="clear" w:color="auto" w:fill="auto"/>
            <w:vAlign w:val="center"/>
          </w:tcPr>
          <w:p w14:paraId="61407593">
            <w:pPr>
              <w:widowControl/>
              <w:jc w:val="left"/>
              <w:rPr>
                <w:rFonts w:ascii="宋体" w:hAnsi="宋体" w:cs="宋体"/>
                <w:color w:val="000000"/>
                <w:kern w:val="0"/>
                <w:sz w:val="22"/>
                <w:szCs w:val="22"/>
              </w:rPr>
            </w:pPr>
          </w:p>
        </w:tc>
        <w:tc>
          <w:tcPr>
            <w:tcW w:w="3555" w:type="dxa"/>
            <w:tcBorders>
              <w:top w:val="nil"/>
              <w:left w:val="nil"/>
              <w:bottom w:val="single" w:color="auto" w:sz="4" w:space="0"/>
              <w:right w:val="single" w:color="auto" w:sz="4" w:space="0"/>
            </w:tcBorders>
            <w:shd w:val="clear" w:color="auto" w:fill="auto"/>
            <w:vAlign w:val="center"/>
          </w:tcPr>
          <w:p w14:paraId="75E7E60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697506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D56594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5345460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4B6AB4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619D36A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444AD7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5C61EEDC">
        <w:tblPrEx>
          <w:tblCellMar>
            <w:top w:w="0" w:type="dxa"/>
            <w:left w:w="108" w:type="dxa"/>
            <w:bottom w:w="0" w:type="dxa"/>
            <w:right w:w="108" w:type="dxa"/>
          </w:tblCellMar>
        </w:tblPrEx>
        <w:trPr>
          <w:trHeight w:val="270" w:hRule="atLeast"/>
        </w:trPr>
        <w:tc>
          <w:tcPr>
            <w:tcW w:w="1025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6CCAE02A">
            <w:pPr>
              <w:widowControl/>
              <w:jc w:val="center"/>
              <w:rPr>
                <w:rFonts w:ascii="宋体" w:hAnsi="宋体" w:cs="宋体"/>
                <w:color w:val="000000"/>
                <w:kern w:val="0"/>
                <w:sz w:val="22"/>
                <w:szCs w:val="22"/>
              </w:rPr>
            </w:pPr>
            <w:r>
              <w:rPr>
                <w:rFonts w:hint="eastAsia" w:ascii="宋体" w:hAnsi="宋体" w:cs="宋体"/>
                <w:color w:val="000000"/>
                <w:kern w:val="0"/>
                <w:sz w:val="22"/>
                <w:szCs w:val="22"/>
              </w:rPr>
              <w:t>小计</w:t>
            </w:r>
          </w:p>
        </w:tc>
        <w:tc>
          <w:tcPr>
            <w:tcW w:w="739" w:type="dxa"/>
            <w:tcBorders>
              <w:top w:val="nil"/>
              <w:left w:val="nil"/>
              <w:bottom w:val="single" w:color="auto" w:sz="4" w:space="0"/>
              <w:right w:val="single" w:color="auto" w:sz="4" w:space="0"/>
            </w:tcBorders>
            <w:shd w:val="clear" w:color="auto" w:fill="auto"/>
            <w:vAlign w:val="center"/>
          </w:tcPr>
          <w:p w14:paraId="1E99B4C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2522966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EA668C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22DF696C">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252E93C7">
            <w:pPr>
              <w:widowControl/>
              <w:jc w:val="left"/>
              <w:rPr>
                <w:rFonts w:ascii="宋体" w:hAnsi="宋体" w:cs="宋体"/>
                <w:color w:val="000000"/>
                <w:kern w:val="0"/>
                <w:sz w:val="22"/>
                <w:szCs w:val="22"/>
              </w:rPr>
            </w:pPr>
            <w:r>
              <w:rPr>
                <w:rFonts w:hint="eastAsia" w:ascii="宋体" w:hAnsi="宋体" w:cs="宋体"/>
                <w:color w:val="000000"/>
                <w:kern w:val="0"/>
                <w:sz w:val="22"/>
                <w:szCs w:val="22"/>
              </w:rPr>
              <w:t>说明：1、投标人须详细列出所需型号产品的详细组件，列举不清楚的将影响评分。</w:t>
            </w:r>
          </w:p>
        </w:tc>
      </w:tr>
      <w:tr w14:paraId="362853CD">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55D0357F">
            <w:pPr>
              <w:widowControl/>
              <w:jc w:val="left"/>
              <w:rPr>
                <w:rFonts w:ascii="宋体" w:hAnsi="宋体" w:cs="宋体"/>
                <w:color w:val="000000"/>
                <w:kern w:val="0"/>
                <w:sz w:val="22"/>
                <w:szCs w:val="22"/>
              </w:rPr>
            </w:pPr>
            <w:r>
              <w:rPr>
                <w:rFonts w:hint="eastAsia" w:ascii="宋体" w:hAnsi="宋体" w:cs="宋体"/>
                <w:color w:val="000000"/>
                <w:kern w:val="0"/>
                <w:sz w:val="22"/>
                <w:szCs w:val="22"/>
              </w:rPr>
              <w:t>2、投标人仅需详细列出分项报价表内投标人报价的所有规格的货物单价分析表。</w:t>
            </w:r>
          </w:p>
        </w:tc>
      </w:tr>
      <w:tr w14:paraId="72575426">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403C5702">
            <w:pPr>
              <w:widowControl/>
              <w:jc w:val="left"/>
              <w:rPr>
                <w:rFonts w:ascii="宋体" w:hAnsi="宋体" w:cs="宋体"/>
                <w:color w:val="000000"/>
                <w:kern w:val="0"/>
                <w:sz w:val="22"/>
                <w:szCs w:val="22"/>
              </w:rPr>
            </w:pPr>
            <w:r>
              <w:rPr>
                <w:rFonts w:hint="eastAsia" w:ascii="宋体" w:hAnsi="宋体" w:cs="宋体"/>
                <w:color w:val="000000"/>
                <w:kern w:val="0"/>
                <w:sz w:val="22"/>
                <w:szCs w:val="22"/>
              </w:rPr>
              <w:t>3、投标人须提供1只样机，供开标时参考及中标后货物接收的参考样板。</w:t>
            </w:r>
          </w:p>
        </w:tc>
      </w:tr>
    </w:tbl>
    <w:p w14:paraId="0B6DE5AF">
      <w:pPr>
        <w:topLinePunct/>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U-F1">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汉仪中黑简">
    <w:altName w:val="宋体"/>
    <w:panose1 w:val="00000000000000000000"/>
    <w:charset w:val="86"/>
    <w:family w:val="modern"/>
    <w:pitch w:val="default"/>
    <w:sig w:usb0="00000000" w:usb1="00000000" w:usb2="00000012" w:usb3="00000000" w:csb0="00040000" w:csb1="00000000"/>
  </w:font>
  <w:font w:name="汉仪大宋简">
    <w:altName w:val="宋体"/>
    <w:panose1 w:val="00000000000000000000"/>
    <w:charset w:val="86"/>
    <w:family w:val="modern"/>
    <w:pitch w:val="default"/>
    <w:sig w:usb0="00000000" w:usb1="00000000" w:usb2="00000012" w:usb3="00000000" w:csb0="00040000" w:csb1="00000000"/>
  </w:font>
  <w:font w:name="汉仪书宋二简">
    <w:altName w:val="宋体"/>
    <w:panose1 w:val="00000000000000000000"/>
    <w:charset w:val="86"/>
    <w:family w:val="modern"/>
    <w:pitch w:val="default"/>
    <w:sig w:usb0="00000000" w:usb1="00000000" w:usb2="00000012" w:usb3="00000000" w:csb0="00040000" w:csb1="00000000"/>
  </w:font>
  <w:font w:name="MingLiU">
    <w:altName w:val="PMingLiU-ExtB"/>
    <w:panose1 w:val="02010609000101010101"/>
    <w:charset w:val="88"/>
    <w:family w:val="modern"/>
    <w:pitch w:val="default"/>
    <w:sig w:usb0="00000000" w:usb1="00000000" w:usb2="00000016" w:usb3="00000000" w:csb0="00100001"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D8A8B">
    <w:pPr>
      <w:pStyle w:val="26"/>
      <w:jc w:val="center"/>
    </w:pPr>
    <w:r>
      <w:fldChar w:fldCharType="begin"/>
    </w:r>
    <w:r>
      <w:instrText xml:space="preserve"> PAGE   \* MERGEFORMAT </w:instrText>
    </w:r>
    <w:r>
      <w:fldChar w:fldCharType="separate"/>
    </w:r>
    <w:r>
      <w:t>3</w:t>
    </w:r>
    <w:r>
      <w:rPr>
        <w:lang w:val="zh-CN"/>
      </w:rPr>
      <w:fldChar w:fldCharType="end"/>
    </w:r>
  </w:p>
  <w:p w14:paraId="01AD4865">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F0185">
    <w:pPr>
      <w:pStyle w:val="26"/>
      <w:jc w:val="center"/>
    </w:pPr>
    <w:r>
      <w:fldChar w:fldCharType="begin"/>
    </w:r>
    <w:r>
      <w:instrText xml:space="preserve"> PAGE   \* MERGEFORMAT </w:instrText>
    </w:r>
    <w:r>
      <w:fldChar w:fldCharType="separate"/>
    </w:r>
    <w:r>
      <w:t>1</w:t>
    </w:r>
    <w:r>
      <w:rPr>
        <w:lang w:val="zh-CN"/>
      </w:rPr>
      <w:fldChar w:fldCharType="end"/>
    </w:r>
  </w:p>
  <w:p w14:paraId="4B78F1C7">
    <w:pPr>
      <w:pStyle w:val="2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F18CE1"/>
    <w:multiLevelType w:val="singleLevel"/>
    <w:tmpl w:val="D2F18CE1"/>
    <w:lvl w:ilvl="0" w:tentative="0">
      <w:start w:val="1"/>
      <w:numFmt w:val="decimal"/>
      <w:suff w:val="nothing"/>
      <w:lvlText w:val="（%1）"/>
      <w:lvlJc w:val="left"/>
    </w:lvl>
  </w:abstractNum>
  <w:abstractNum w:abstractNumId="1">
    <w:nsid w:val="09DE468B"/>
    <w:multiLevelType w:val="multilevel"/>
    <w:tmpl w:val="09DE468B"/>
    <w:lvl w:ilvl="0" w:tentative="0">
      <w:start w:val="5"/>
      <w:numFmt w:val="decimal"/>
      <w:lvlText w:val="%1"/>
      <w:lvlJc w:val="left"/>
      <w:pPr>
        <w:ind w:left="360" w:hanging="360"/>
      </w:pPr>
      <w:rPr>
        <w:rFonts w:hint="default"/>
      </w:rPr>
    </w:lvl>
    <w:lvl w:ilvl="1" w:tentative="0">
      <w:start w:val="5"/>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NjIxZDJiMWExOTEwMjNmNzRhZTAwMjgxOGE0N2IifQ=="/>
  </w:docVars>
  <w:rsids>
    <w:rsidRoot w:val="00172A27"/>
    <w:rsid w:val="00000E94"/>
    <w:rsid w:val="00006B18"/>
    <w:rsid w:val="00010CA8"/>
    <w:rsid w:val="000129FA"/>
    <w:rsid w:val="00021C97"/>
    <w:rsid w:val="00026D8C"/>
    <w:rsid w:val="00027790"/>
    <w:rsid w:val="0003157D"/>
    <w:rsid w:val="00043F3D"/>
    <w:rsid w:val="00045539"/>
    <w:rsid w:val="00045CC3"/>
    <w:rsid w:val="00052B72"/>
    <w:rsid w:val="00053F23"/>
    <w:rsid w:val="0006061E"/>
    <w:rsid w:val="00061FA9"/>
    <w:rsid w:val="00066494"/>
    <w:rsid w:val="000769B5"/>
    <w:rsid w:val="00077CBC"/>
    <w:rsid w:val="000A7A21"/>
    <w:rsid w:val="000B4431"/>
    <w:rsid w:val="000D2324"/>
    <w:rsid w:val="000E0865"/>
    <w:rsid w:val="000E71D5"/>
    <w:rsid w:val="000F0DBA"/>
    <w:rsid w:val="000F2116"/>
    <w:rsid w:val="000F6B6F"/>
    <w:rsid w:val="00102258"/>
    <w:rsid w:val="001111F6"/>
    <w:rsid w:val="00122054"/>
    <w:rsid w:val="00124CF9"/>
    <w:rsid w:val="00125A87"/>
    <w:rsid w:val="001273B0"/>
    <w:rsid w:val="001313B0"/>
    <w:rsid w:val="001352A0"/>
    <w:rsid w:val="001358F8"/>
    <w:rsid w:val="00141416"/>
    <w:rsid w:val="00146E6B"/>
    <w:rsid w:val="00150D82"/>
    <w:rsid w:val="00151200"/>
    <w:rsid w:val="00155E6D"/>
    <w:rsid w:val="00163788"/>
    <w:rsid w:val="00167BB5"/>
    <w:rsid w:val="00172A27"/>
    <w:rsid w:val="00173B40"/>
    <w:rsid w:val="00176673"/>
    <w:rsid w:val="00187CDB"/>
    <w:rsid w:val="00191947"/>
    <w:rsid w:val="001A0F14"/>
    <w:rsid w:val="001B224E"/>
    <w:rsid w:val="001D3F56"/>
    <w:rsid w:val="001D4A24"/>
    <w:rsid w:val="001D5A98"/>
    <w:rsid w:val="001D7370"/>
    <w:rsid w:val="001E0BA6"/>
    <w:rsid w:val="001E30AC"/>
    <w:rsid w:val="001E73C8"/>
    <w:rsid w:val="002068E4"/>
    <w:rsid w:val="00206B25"/>
    <w:rsid w:val="00223B9C"/>
    <w:rsid w:val="00231234"/>
    <w:rsid w:val="00242A2C"/>
    <w:rsid w:val="00242A43"/>
    <w:rsid w:val="002435A4"/>
    <w:rsid w:val="00244374"/>
    <w:rsid w:val="0024587E"/>
    <w:rsid w:val="0024602B"/>
    <w:rsid w:val="002471DD"/>
    <w:rsid w:val="00251B37"/>
    <w:rsid w:val="00252AEC"/>
    <w:rsid w:val="00256966"/>
    <w:rsid w:val="00261356"/>
    <w:rsid w:val="00272408"/>
    <w:rsid w:val="00282E60"/>
    <w:rsid w:val="002A1454"/>
    <w:rsid w:val="002A42DE"/>
    <w:rsid w:val="002A660A"/>
    <w:rsid w:val="002A7817"/>
    <w:rsid w:val="002B0A43"/>
    <w:rsid w:val="002B1A44"/>
    <w:rsid w:val="002B3EC8"/>
    <w:rsid w:val="002B4BAC"/>
    <w:rsid w:val="002B5163"/>
    <w:rsid w:val="002B590D"/>
    <w:rsid w:val="002E011C"/>
    <w:rsid w:val="002E4C2F"/>
    <w:rsid w:val="002F0592"/>
    <w:rsid w:val="002F1B42"/>
    <w:rsid w:val="002F33B7"/>
    <w:rsid w:val="002F4C3E"/>
    <w:rsid w:val="003113EA"/>
    <w:rsid w:val="00316B25"/>
    <w:rsid w:val="00325A4B"/>
    <w:rsid w:val="003350ED"/>
    <w:rsid w:val="00340BAB"/>
    <w:rsid w:val="00342D0E"/>
    <w:rsid w:val="003446BE"/>
    <w:rsid w:val="003467A6"/>
    <w:rsid w:val="0035001B"/>
    <w:rsid w:val="0036382B"/>
    <w:rsid w:val="00370DD9"/>
    <w:rsid w:val="00371318"/>
    <w:rsid w:val="00371960"/>
    <w:rsid w:val="003A23E3"/>
    <w:rsid w:val="003A72ED"/>
    <w:rsid w:val="003A7357"/>
    <w:rsid w:val="003B46BA"/>
    <w:rsid w:val="003C5E0E"/>
    <w:rsid w:val="003D15AE"/>
    <w:rsid w:val="003D4015"/>
    <w:rsid w:val="003D5865"/>
    <w:rsid w:val="0042491D"/>
    <w:rsid w:val="00425581"/>
    <w:rsid w:val="00430A12"/>
    <w:rsid w:val="00436935"/>
    <w:rsid w:val="004452CF"/>
    <w:rsid w:val="004454B6"/>
    <w:rsid w:val="00451FFE"/>
    <w:rsid w:val="00452D23"/>
    <w:rsid w:val="00464F99"/>
    <w:rsid w:val="00484986"/>
    <w:rsid w:val="00490823"/>
    <w:rsid w:val="00496952"/>
    <w:rsid w:val="004A12A0"/>
    <w:rsid w:val="004A3B04"/>
    <w:rsid w:val="004A6249"/>
    <w:rsid w:val="004B68FC"/>
    <w:rsid w:val="004D4C3E"/>
    <w:rsid w:val="004F38D0"/>
    <w:rsid w:val="004F6235"/>
    <w:rsid w:val="004F7249"/>
    <w:rsid w:val="0051013C"/>
    <w:rsid w:val="0051449A"/>
    <w:rsid w:val="005171F8"/>
    <w:rsid w:val="00520783"/>
    <w:rsid w:val="00520F99"/>
    <w:rsid w:val="0052167C"/>
    <w:rsid w:val="00523E8F"/>
    <w:rsid w:val="00525E78"/>
    <w:rsid w:val="00530EA7"/>
    <w:rsid w:val="005344AB"/>
    <w:rsid w:val="00535693"/>
    <w:rsid w:val="00537784"/>
    <w:rsid w:val="00537CF9"/>
    <w:rsid w:val="00540D02"/>
    <w:rsid w:val="005462BC"/>
    <w:rsid w:val="00546798"/>
    <w:rsid w:val="00546D74"/>
    <w:rsid w:val="0055011F"/>
    <w:rsid w:val="00556469"/>
    <w:rsid w:val="005676DC"/>
    <w:rsid w:val="00571B35"/>
    <w:rsid w:val="005827F8"/>
    <w:rsid w:val="0059071D"/>
    <w:rsid w:val="005A3753"/>
    <w:rsid w:val="005B1212"/>
    <w:rsid w:val="005B4054"/>
    <w:rsid w:val="005C0C18"/>
    <w:rsid w:val="005D1FDF"/>
    <w:rsid w:val="005D664E"/>
    <w:rsid w:val="005E1592"/>
    <w:rsid w:val="005E1B98"/>
    <w:rsid w:val="00601806"/>
    <w:rsid w:val="00606E08"/>
    <w:rsid w:val="00613A50"/>
    <w:rsid w:val="006145F4"/>
    <w:rsid w:val="006206EA"/>
    <w:rsid w:val="00623CCA"/>
    <w:rsid w:val="00625E17"/>
    <w:rsid w:val="00633249"/>
    <w:rsid w:val="00637FF3"/>
    <w:rsid w:val="00645E30"/>
    <w:rsid w:val="006468F1"/>
    <w:rsid w:val="00646E81"/>
    <w:rsid w:val="006668F2"/>
    <w:rsid w:val="00667ED6"/>
    <w:rsid w:val="006758B7"/>
    <w:rsid w:val="006A3C8E"/>
    <w:rsid w:val="006B1A94"/>
    <w:rsid w:val="006B4021"/>
    <w:rsid w:val="006B5CE9"/>
    <w:rsid w:val="006C741F"/>
    <w:rsid w:val="006D0D90"/>
    <w:rsid w:val="006D4013"/>
    <w:rsid w:val="006F0A5D"/>
    <w:rsid w:val="006F330A"/>
    <w:rsid w:val="006F40F2"/>
    <w:rsid w:val="007316C4"/>
    <w:rsid w:val="00732EE4"/>
    <w:rsid w:val="00737DFD"/>
    <w:rsid w:val="00742004"/>
    <w:rsid w:val="00742362"/>
    <w:rsid w:val="007468D5"/>
    <w:rsid w:val="0074763D"/>
    <w:rsid w:val="00761708"/>
    <w:rsid w:val="00764A6F"/>
    <w:rsid w:val="00785B22"/>
    <w:rsid w:val="00795068"/>
    <w:rsid w:val="007A466A"/>
    <w:rsid w:val="007B7452"/>
    <w:rsid w:val="007C1A2E"/>
    <w:rsid w:val="007D06F9"/>
    <w:rsid w:val="007D36A6"/>
    <w:rsid w:val="007D5311"/>
    <w:rsid w:val="007D6A90"/>
    <w:rsid w:val="007D6DFC"/>
    <w:rsid w:val="007E0BD7"/>
    <w:rsid w:val="007E264C"/>
    <w:rsid w:val="007F7D07"/>
    <w:rsid w:val="00803E4B"/>
    <w:rsid w:val="00806A1E"/>
    <w:rsid w:val="00813604"/>
    <w:rsid w:val="00824563"/>
    <w:rsid w:val="008308D9"/>
    <w:rsid w:val="0084002D"/>
    <w:rsid w:val="00845124"/>
    <w:rsid w:val="0084608A"/>
    <w:rsid w:val="008513B9"/>
    <w:rsid w:val="008526C8"/>
    <w:rsid w:val="00855A6F"/>
    <w:rsid w:val="00857EFD"/>
    <w:rsid w:val="0086521A"/>
    <w:rsid w:val="00886579"/>
    <w:rsid w:val="008936C7"/>
    <w:rsid w:val="008A5D41"/>
    <w:rsid w:val="008B0D4D"/>
    <w:rsid w:val="008B2A3C"/>
    <w:rsid w:val="008B3CDB"/>
    <w:rsid w:val="008C2088"/>
    <w:rsid w:val="008C20C8"/>
    <w:rsid w:val="008E210E"/>
    <w:rsid w:val="008E430D"/>
    <w:rsid w:val="008E5827"/>
    <w:rsid w:val="008F0755"/>
    <w:rsid w:val="00915AB6"/>
    <w:rsid w:val="009167DD"/>
    <w:rsid w:val="00917651"/>
    <w:rsid w:val="009561A8"/>
    <w:rsid w:val="0095761E"/>
    <w:rsid w:val="0096314C"/>
    <w:rsid w:val="0098245F"/>
    <w:rsid w:val="00987474"/>
    <w:rsid w:val="00987D69"/>
    <w:rsid w:val="009960D2"/>
    <w:rsid w:val="00996674"/>
    <w:rsid w:val="009A1695"/>
    <w:rsid w:val="009A5D36"/>
    <w:rsid w:val="009A5F72"/>
    <w:rsid w:val="009A72DB"/>
    <w:rsid w:val="009B45E3"/>
    <w:rsid w:val="009D1F42"/>
    <w:rsid w:val="009D6CD0"/>
    <w:rsid w:val="009E1523"/>
    <w:rsid w:val="009E40CA"/>
    <w:rsid w:val="009E4A81"/>
    <w:rsid w:val="009E529C"/>
    <w:rsid w:val="009E65C0"/>
    <w:rsid w:val="009E7D2C"/>
    <w:rsid w:val="009F60D9"/>
    <w:rsid w:val="00A00BA0"/>
    <w:rsid w:val="00A037CD"/>
    <w:rsid w:val="00A216F9"/>
    <w:rsid w:val="00A269F5"/>
    <w:rsid w:val="00A27D4D"/>
    <w:rsid w:val="00A41E92"/>
    <w:rsid w:val="00A463D3"/>
    <w:rsid w:val="00A53559"/>
    <w:rsid w:val="00A758F5"/>
    <w:rsid w:val="00A83A8D"/>
    <w:rsid w:val="00A900DF"/>
    <w:rsid w:val="00A93372"/>
    <w:rsid w:val="00AA6DC4"/>
    <w:rsid w:val="00AA7E3A"/>
    <w:rsid w:val="00AB35A8"/>
    <w:rsid w:val="00AB48DB"/>
    <w:rsid w:val="00AC0E14"/>
    <w:rsid w:val="00AD0ACE"/>
    <w:rsid w:val="00AD1D38"/>
    <w:rsid w:val="00AD4B66"/>
    <w:rsid w:val="00AD7CA0"/>
    <w:rsid w:val="00AE3AF0"/>
    <w:rsid w:val="00AF363E"/>
    <w:rsid w:val="00AF36E4"/>
    <w:rsid w:val="00AF6B41"/>
    <w:rsid w:val="00B04D82"/>
    <w:rsid w:val="00B36662"/>
    <w:rsid w:val="00B4117D"/>
    <w:rsid w:val="00B41F84"/>
    <w:rsid w:val="00B473EC"/>
    <w:rsid w:val="00B50432"/>
    <w:rsid w:val="00B54BC6"/>
    <w:rsid w:val="00B73FC6"/>
    <w:rsid w:val="00B8123C"/>
    <w:rsid w:val="00B9061F"/>
    <w:rsid w:val="00B946D4"/>
    <w:rsid w:val="00BA592E"/>
    <w:rsid w:val="00BB61F7"/>
    <w:rsid w:val="00BC29F4"/>
    <w:rsid w:val="00BD261E"/>
    <w:rsid w:val="00BD4271"/>
    <w:rsid w:val="00BD7DED"/>
    <w:rsid w:val="00BD7E3C"/>
    <w:rsid w:val="00BE0372"/>
    <w:rsid w:val="00BE0B58"/>
    <w:rsid w:val="00BE262E"/>
    <w:rsid w:val="00BE5AB5"/>
    <w:rsid w:val="00BF11D3"/>
    <w:rsid w:val="00BF1BCE"/>
    <w:rsid w:val="00C0401A"/>
    <w:rsid w:val="00C1068F"/>
    <w:rsid w:val="00C12F2F"/>
    <w:rsid w:val="00C173ED"/>
    <w:rsid w:val="00C27061"/>
    <w:rsid w:val="00C30BBB"/>
    <w:rsid w:val="00C31F24"/>
    <w:rsid w:val="00C43771"/>
    <w:rsid w:val="00C4463A"/>
    <w:rsid w:val="00C51C65"/>
    <w:rsid w:val="00C63045"/>
    <w:rsid w:val="00C63D0F"/>
    <w:rsid w:val="00C7132A"/>
    <w:rsid w:val="00C71565"/>
    <w:rsid w:val="00C8209C"/>
    <w:rsid w:val="00C91614"/>
    <w:rsid w:val="00C969AE"/>
    <w:rsid w:val="00CA1EB1"/>
    <w:rsid w:val="00CD1EE2"/>
    <w:rsid w:val="00CD32B4"/>
    <w:rsid w:val="00CE07C7"/>
    <w:rsid w:val="00CE338D"/>
    <w:rsid w:val="00CE6474"/>
    <w:rsid w:val="00CF1ABA"/>
    <w:rsid w:val="00CF4144"/>
    <w:rsid w:val="00D135CE"/>
    <w:rsid w:val="00D16E3D"/>
    <w:rsid w:val="00D17C9A"/>
    <w:rsid w:val="00D2191D"/>
    <w:rsid w:val="00D24413"/>
    <w:rsid w:val="00D372D8"/>
    <w:rsid w:val="00D4391A"/>
    <w:rsid w:val="00D44C09"/>
    <w:rsid w:val="00D46E07"/>
    <w:rsid w:val="00D6378E"/>
    <w:rsid w:val="00D82DC4"/>
    <w:rsid w:val="00D832F2"/>
    <w:rsid w:val="00DA34CE"/>
    <w:rsid w:val="00DA46BD"/>
    <w:rsid w:val="00DB28D4"/>
    <w:rsid w:val="00DB37A2"/>
    <w:rsid w:val="00DC5EFD"/>
    <w:rsid w:val="00DC6903"/>
    <w:rsid w:val="00DE0103"/>
    <w:rsid w:val="00DE0835"/>
    <w:rsid w:val="00DE4135"/>
    <w:rsid w:val="00DE4259"/>
    <w:rsid w:val="00DE6026"/>
    <w:rsid w:val="00DF448D"/>
    <w:rsid w:val="00DF44F3"/>
    <w:rsid w:val="00E01E45"/>
    <w:rsid w:val="00E1179E"/>
    <w:rsid w:val="00E11ED8"/>
    <w:rsid w:val="00E226C8"/>
    <w:rsid w:val="00E242D2"/>
    <w:rsid w:val="00E24F51"/>
    <w:rsid w:val="00E33ED8"/>
    <w:rsid w:val="00E35B94"/>
    <w:rsid w:val="00E37DD2"/>
    <w:rsid w:val="00E46590"/>
    <w:rsid w:val="00E467A4"/>
    <w:rsid w:val="00E506B2"/>
    <w:rsid w:val="00E52674"/>
    <w:rsid w:val="00E70EF5"/>
    <w:rsid w:val="00E740AD"/>
    <w:rsid w:val="00E96BDF"/>
    <w:rsid w:val="00EA135C"/>
    <w:rsid w:val="00EB4034"/>
    <w:rsid w:val="00EB6EB0"/>
    <w:rsid w:val="00EC7C07"/>
    <w:rsid w:val="00ED202D"/>
    <w:rsid w:val="00ED410A"/>
    <w:rsid w:val="00ED6417"/>
    <w:rsid w:val="00ED750E"/>
    <w:rsid w:val="00EE463C"/>
    <w:rsid w:val="00F01EEE"/>
    <w:rsid w:val="00F16435"/>
    <w:rsid w:val="00F1750B"/>
    <w:rsid w:val="00F17F42"/>
    <w:rsid w:val="00F424CA"/>
    <w:rsid w:val="00F446C8"/>
    <w:rsid w:val="00F54EE7"/>
    <w:rsid w:val="00F55E3A"/>
    <w:rsid w:val="00F66FBA"/>
    <w:rsid w:val="00F80426"/>
    <w:rsid w:val="00F86357"/>
    <w:rsid w:val="00F86E10"/>
    <w:rsid w:val="00F90810"/>
    <w:rsid w:val="00FA1D61"/>
    <w:rsid w:val="00FA4A18"/>
    <w:rsid w:val="00FB0704"/>
    <w:rsid w:val="00FB3FA5"/>
    <w:rsid w:val="00FB5ED2"/>
    <w:rsid w:val="00FB6B13"/>
    <w:rsid w:val="00FC7179"/>
    <w:rsid w:val="00FC73DF"/>
    <w:rsid w:val="00FD5A12"/>
    <w:rsid w:val="00FD70BE"/>
    <w:rsid w:val="00FE33A7"/>
    <w:rsid w:val="00FE6BD3"/>
    <w:rsid w:val="00FE6D7C"/>
    <w:rsid w:val="02867DB1"/>
    <w:rsid w:val="029729B6"/>
    <w:rsid w:val="03525F75"/>
    <w:rsid w:val="0358398D"/>
    <w:rsid w:val="04B96A4C"/>
    <w:rsid w:val="069C4E79"/>
    <w:rsid w:val="06C63181"/>
    <w:rsid w:val="06C867AC"/>
    <w:rsid w:val="07610F29"/>
    <w:rsid w:val="077943D1"/>
    <w:rsid w:val="088F6118"/>
    <w:rsid w:val="08A23AA8"/>
    <w:rsid w:val="0A095984"/>
    <w:rsid w:val="0A546CFD"/>
    <w:rsid w:val="0AB4001B"/>
    <w:rsid w:val="0BDA07EE"/>
    <w:rsid w:val="0C3E7B22"/>
    <w:rsid w:val="0D4634C6"/>
    <w:rsid w:val="0E6352A9"/>
    <w:rsid w:val="10001818"/>
    <w:rsid w:val="101C207C"/>
    <w:rsid w:val="109D16D1"/>
    <w:rsid w:val="11001706"/>
    <w:rsid w:val="11C558AC"/>
    <w:rsid w:val="12912E05"/>
    <w:rsid w:val="13021E3F"/>
    <w:rsid w:val="144349CA"/>
    <w:rsid w:val="14486024"/>
    <w:rsid w:val="15651629"/>
    <w:rsid w:val="16172B4F"/>
    <w:rsid w:val="175F4C67"/>
    <w:rsid w:val="17DF51B5"/>
    <w:rsid w:val="18604C91"/>
    <w:rsid w:val="19960E59"/>
    <w:rsid w:val="1B3E5305"/>
    <w:rsid w:val="1B81532C"/>
    <w:rsid w:val="1BA1664F"/>
    <w:rsid w:val="1BD379F3"/>
    <w:rsid w:val="1E181AED"/>
    <w:rsid w:val="1E9F5249"/>
    <w:rsid w:val="1FB0678C"/>
    <w:rsid w:val="212165FA"/>
    <w:rsid w:val="21812D83"/>
    <w:rsid w:val="21E408A9"/>
    <w:rsid w:val="22461F75"/>
    <w:rsid w:val="22A93AEA"/>
    <w:rsid w:val="24757970"/>
    <w:rsid w:val="24A948B4"/>
    <w:rsid w:val="24CC02EC"/>
    <w:rsid w:val="28431B9D"/>
    <w:rsid w:val="2A9071E3"/>
    <w:rsid w:val="2AC25434"/>
    <w:rsid w:val="2CF779D9"/>
    <w:rsid w:val="2D385E3D"/>
    <w:rsid w:val="2DE0049D"/>
    <w:rsid w:val="2DED6F26"/>
    <w:rsid w:val="2F835DC4"/>
    <w:rsid w:val="301F5880"/>
    <w:rsid w:val="3054333F"/>
    <w:rsid w:val="306D1203"/>
    <w:rsid w:val="30D91D52"/>
    <w:rsid w:val="31436D79"/>
    <w:rsid w:val="32912E68"/>
    <w:rsid w:val="343F0843"/>
    <w:rsid w:val="362D1857"/>
    <w:rsid w:val="363E3B8C"/>
    <w:rsid w:val="36CE0F9D"/>
    <w:rsid w:val="37991DE9"/>
    <w:rsid w:val="37DC2334"/>
    <w:rsid w:val="38642B77"/>
    <w:rsid w:val="38910B5D"/>
    <w:rsid w:val="390A1721"/>
    <w:rsid w:val="39BD1ED0"/>
    <w:rsid w:val="3C1F7467"/>
    <w:rsid w:val="3C3663D5"/>
    <w:rsid w:val="3CFB4CAB"/>
    <w:rsid w:val="3D504924"/>
    <w:rsid w:val="3D6313C6"/>
    <w:rsid w:val="3DC75867"/>
    <w:rsid w:val="3DE5069A"/>
    <w:rsid w:val="3E465FAD"/>
    <w:rsid w:val="3EA405F6"/>
    <w:rsid w:val="3FA141F3"/>
    <w:rsid w:val="3FB86017"/>
    <w:rsid w:val="41566C15"/>
    <w:rsid w:val="41FC5AE8"/>
    <w:rsid w:val="42936744"/>
    <w:rsid w:val="42B70F03"/>
    <w:rsid w:val="42EA64CF"/>
    <w:rsid w:val="457E0411"/>
    <w:rsid w:val="46332E6A"/>
    <w:rsid w:val="473232DB"/>
    <w:rsid w:val="4763732D"/>
    <w:rsid w:val="48E43FA6"/>
    <w:rsid w:val="49D51330"/>
    <w:rsid w:val="4C046549"/>
    <w:rsid w:val="4C244078"/>
    <w:rsid w:val="4D655D09"/>
    <w:rsid w:val="4DEA3D63"/>
    <w:rsid w:val="4E810A89"/>
    <w:rsid w:val="4EC01228"/>
    <w:rsid w:val="4ED107DE"/>
    <w:rsid w:val="4FC437C6"/>
    <w:rsid w:val="50365B27"/>
    <w:rsid w:val="505605DA"/>
    <w:rsid w:val="50C54111"/>
    <w:rsid w:val="514A216C"/>
    <w:rsid w:val="528F544B"/>
    <w:rsid w:val="532838FB"/>
    <w:rsid w:val="535B2E50"/>
    <w:rsid w:val="548B3542"/>
    <w:rsid w:val="566475F0"/>
    <w:rsid w:val="56E11498"/>
    <w:rsid w:val="57525EA0"/>
    <w:rsid w:val="58B42698"/>
    <w:rsid w:val="59114FB0"/>
    <w:rsid w:val="5941276A"/>
    <w:rsid w:val="5A8C0EE1"/>
    <w:rsid w:val="5B076365"/>
    <w:rsid w:val="5B93724D"/>
    <w:rsid w:val="5CD60B5E"/>
    <w:rsid w:val="5DA144DC"/>
    <w:rsid w:val="5E9D12A7"/>
    <w:rsid w:val="5F9B4B6A"/>
    <w:rsid w:val="60422D79"/>
    <w:rsid w:val="60C345CC"/>
    <w:rsid w:val="61E559A8"/>
    <w:rsid w:val="633E6EBF"/>
    <w:rsid w:val="641E5C0C"/>
    <w:rsid w:val="64460B92"/>
    <w:rsid w:val="64792D16"/>
    <w:rsid w:val="67421678"/>
    <w:rsid w:val="6A254C33"/>
    <w:rsid w:val="6A4B7928"/>
    <w:rsid w:val="6D3867BF"/>
    <w:rsid w:val="6D76533F"/>
    <w:rsid w:val="6D920153"/>
    <w:rsid w:val="6E704C8A"/>
    <w:rsid w:val="6F0A546E"/>
    <w:rsid w:val="70EF1C90"/>
    <w:rsid w:val="711F2A56"/>
    <w:rsid w:val="72E71467"/>
    <w:rsid w:val="73104006"/>
    <w:rsid w:val="733B1C68"/>
    <w:rsid w:val="74736F42"/>
    <w:rsid w:val="74C64922"/>
    <w:rsid w:val="75894543"/>
    <w:rsid w:val="759C1BB2"/>
    <w:rsid w:val="76804F78"/>
    <w:rsid w:val="77CF39A0"/>
    <w:rsid w:val="78F73403"/>
    <w:rsid w:val="7B1072F5"/>
    <w:rsid w:val="7B5D6256"/>
    <w:rsid w:val="7C350F81"/>
    <w:rsid w:val="7C590591"/>
    <w:rsid w:val="7D573FDD"/>
    <w:rsid w:val="7E1352F2"/>
    <w:rsid w:val="7F271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7"/>
    <w:qFormat/>
    <w:uiPriority w:val="0"/>
    <w:pPr>
      <w:keepNext/>
      <w:spacing w:line="240" w:lineRule="atLeast"/>
      <w:jc w:val="right"/>
      <w:outlineLvl w:val="0"/>
    </w:pPr>
    <w:rPr>
      <w:b/>
      <w:bCs/>
      <w:sz w:val="28"/>
    </w:rPr>
  </w:style>
  <w:style w:type="paragraph" w:styleId="3">
    <w:name w:val="heading 2"/>
    <w:basedOn w:val="1"/>
    <w:next w:val="1"/>
    <w:link w:val="48"/>
    <w:qFormat/>
    <w:uiPriority w:val="0"/>
    <w:pPr>
      <w:keepNext/>
      <w:keepLines/>
      <w:topLinePunct/>
      <w:spacing w:before="260" w:after="260" w:line="415" w:lineRule="auto"/>
      <w:outlineLvl w:val="1"/>
    </w:pPr>
    <w:rPr>
      <w:rFonts w:eastAsia="黑体"/>
      <w:szCs w:val="20"/>
    </w:rPr>
  </w:style>
  <w:style w:type="paragraph" w:styleId="4">
    <w:name w:val="heading 3"/>
    <w:basedOn w:val="1"/>
    <w:next w:val="1"/>
    <w:link w:val="49"/>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link w:val="50"/>
    <w:qFormat/>
    <w:uiPriority w:val="0"/>
    <w:pPr>
      <w:keepNext/>
      <w:keepLines/>
      <w:spacing w:before="280" w:after="290" w:line="372" w:lineRule="auto"/>
      <w:outlineLvl w:val="3"/>
    </w:pPr>
    <w:rPr>
      <w:rFonts w:ascii="Arial" w:hAnsi="Arial" w:eastAsia="黑体"/>
      <w:b/>
      <w:sz w:val="28"/>
      <w:szCs w:val="20"/>
    </w:rPr>
  </w:style>
  <w:style w:type="paragraph" w:styleId="6">
    <w:name w:val="heading 5"/>
    <w:basedOn w:val="1"/>
    <w:next w:val="1"/>
    <w:link w:val="51"/>
    <w:qFormat/>
    <w:uiPriority w:val="0"/>
    <w:pPr>
      <w:keepNext/>
      <w:keepLines/>
      <w:spacing w:line="360" w:lineRule="auto"/>
      <w:outlineLvl w:val="4"/>
    </w:pPr>
    <w:rPr>
      <w:rFonts w:eastAsia="黑体"/>
      <w:szCs w:val="20"/>
    </w:rPr>
  </w:style>
  <w:style w:type="paragraph" w:styleId="7">
    <w:name w:val="heading 6"/>
    <w:basedOn w:val="1"/>
    <w:next w:val="1"/>
    <w:link w:val="52"/>
    <w:qFormat/>
    <w:uiPriority w:val="0"/>
    <w:pPr>
      <w:keepNext/>
      <w:keepLines/>
      <w:spacing w:before="240" w:after="64" w:line="317" w:lineRule="auto"/>
      <w:outlineLvl w:val="5"/>
    </w:pPr>
    <w:rPr>
      <w:rFonts w:ascii="Arial" w:hAnsi="Arial" w:eastAsia="黑体"/>
      <w:b/>
      <w:sz w:val="24"/>
      <w:szCs w:val="20"/>
    </w:rPr>
  </w:style>
  <w:style w:type="paragraph" w:styleId="8">
    <w:name w:val="heading 7"/>
    <w:basedOn w:val="1"/>
    <w:next w:val="1"/>
    <w:link w:val="53"/>
    <w:qFormat/>
    <w:uiPriority w:val="0"/>
    <w:pPr>
      <w:keepNext/>
      <w:keepLines/>
      <w:spacing w:before="240" w:after="64" w:line="317" w:lineRule="auto"/>
      <w:outlineLvl w:val="6"/>
    </w:pPr>
    <w:rPr>
      <w:b/>
      <w:sz w:val="24"/>
      <w:szCs w:val="20"/>
    </w:rPr>
  </w:style>
  <w:style w:type="paragraph" w:styleId="9">
    <w:name w:val="heading 8"/>
    <w:basedOn w:val="1"/>
    <w:next w:val="1"/>
    <w:link w:val="54"/>
    <w:qFormat/>
    <w:uiPriority w:val="0"/>
    <w:pPr>
      <w:keepNext/>
      <w:keepLines/>
      <w:spacing w:before="240" w:after="64" w:line="317" w:lineRule="auto"/>
      <w:outlineLvl w:val="7"/>
    </w:pPr>
    <w:rPr>
      <w:rFonts w:ascii="Arial" w:hAnsi="Arial" w:eastAsia="黑体"/>
      <w:sz w:val="24"/>
      <w:szCs w:val="20"/>
    </w:rPr>
  </w:style>
  <w:style w:type="paragraph" w:styleId="10">
    <w:name w:val="heading 9"/>
    <w:basedOn w:val="1"/>
    <w:next w:val="1"/>
    <w:link w:val="55"/>
    <w:qFormat/>
    <w:uiPriority w:val="0"/>
    <w:pPr>
      <w:keepNext/>
      <w:keepLines/>
      <w:spacing w:before="240" w:after="64" w:line="317" w:lineRule="auto"/>
      <w:outlineLvl w:val="8"/>
    </w:pPr>
    <w:rPr>
      <w:rFonts w:ascii="Arial" w:hAnsi="Arial" w:eastAsia="黑体"/>
      <w:szCs w:val="20"/>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spacing w:line="360" w:lineRule="auto"/>
      <w:ind w:left="1260" w:firstLine="200" w:firstLineChars="200"/>
      <w:jc w:val="left"/>
    </w:pPr>
    <w:rPr>
      <w:rFonts w:ascii="Calibri" w:hAnsi="Calibri"/>
      <w:sz w:val="18"/>
      <w:szCs w:val="18"/>
    </w:rPr>
  </w:style>
  <w:style w:type="paragraph" w:styleId="12">
    <w:name w:val="Normal Indent"/>
    <w:basedOn w:val="1"/>
    <w:qFormat/>
    <w:uiPriority w:val="0"/>
    <w:pPr>
      <w:widowControl/>
      <w:ind w:firstLine="420" w:firstLineChars="200"/>
      <w:jc w:val="left"/>
    </w:pPr>
    <w:rPr>
      <w:kern w:val="0"/>
      <w:sz w:val="20"/>
      <w:szCs w:val="20"/>
    </w:rPr>
  </w:style>
  <w:style w:type="paragraph" w:styleId="13">
    <w:name w:val="caption"/>
    <w:basedOn w:val="1"/>
    <w:next w:val="1"/>
    <w:link w:val="78"/>
    <w:qFormat/>
    <w:uiPriority w:val="0"/>
    <w:pPr>
      <w:spacing w:line="360" w:lineRule="auto"/>
      <w:ind w:firstLine="200" w:firstLineChars="200"/>
    </w:pPr>
    <w:rPr>
      <w:rFonts w:ascii="Cambria" w:hAnsi="Cambria" w:eastAsia="黑体"/>
      <w:sz w:val="20"/>
      <w:szCs w:val="20"/>
    </w:rPr>
  </w:style>
  <w:style w:type="paragraph" w:styleId="14">
    <w:name w:val="List Bullet"/>
    <w:basedOn w:val="1"/>
    <w:qFormat/>
    <w:uiPriority w:val="0"/>
    <w:pPr>
      <w:tabs>
        <w:tab w:val="left" w:pos="360"/>
      </w:tabs>
      <w:spacing w:line="360" w:lineRule="auto"/>
      <w:ind w:left="360" w:hanging="360"/>
      <w:contextualSpacing/>
    </w:pPr>
    <w:rPr>
      <w:rFonts w:ascii="宋体" w:hAnsi="宋体"/>
      <w:szCs w:val="22"/>
    </w:rPr>
  </w:style>
  <w:style w:type="paragraph" w:styleId="15">
    <w:name w:val="Document Map"/>
    <w:basedOn w:val="1"/>
    <w:link w:val="73"/>
    <w:qFormat/>
    <w:uiPriority w:val="0"/>
    <w:rPr>
      <w:rFonts w:ascii="宋体"/>
      <w:sz w:val="18"/>
      <w:szCs w:val="18"/>
    </w:rPr>
  </w:style>
  <w:style w:type="paragraph" w:styleId="16">
    <w:name w:val="annotation text"/>
    <w:basedOn w:val="1"/>
    <w:link w:val="69"/>
    <w:qFormat/>
    <w:uiPriority w:val="99"/>
    <w:pPr>
      <w:jc w:val="left"/>
    </w:pPr>
  </w:style>
  <w:style w:type="paragraph" w:styleId="17">
    <w:name w:val="Body Text"/>
    <w:basedOn w:val="1"/>
    <w:link w:val="76"/>
    <w:unhideWhenUsed/>
    <w:qFormat/>
    <w:uiPriority w:val="99"/>
    <w:pPr>
      <w:spacing w:after="120"/>
    </w:pPr>
  </w:style>
  <w:style w:type="paragraph" w:styleId="18">
    <w:name w:val="Body Text Indent"/>
    <w:basedOn w:val="1"/>
    <w:link w:val="79"/>
    <w:qFormat/>
    <w:uiPriority w:val="0"/>
    <w:pPr>
      <w:snapToGrid w:val="0"/>
      <w:spacing w:line="360" w:lineRule="auto"/>
      <w:ind w:firstLine="420" w:firstLineChars="200"/>
    </w:pPr>
    <w:rPr>
      <w:color w:val="000000"/>
      <w:kern w:val="0"/>
      <w:sz w:val="20"/>
    </w:rPr>
  </w:style>
  <w:style w:type="paragraph" w:styleId="19">
    <w:name w:val="toc 5"/>
    <w:basedOn w:val="1"/>
    <w:next w:val="1"/>
    <w:qFormat/>
    <w:uiPriority w:val="0"/>
    <w:pPr>
      <w:spacing w:line="360" w:lineRule="auto"/>
      <w:ind w:left="840" w:firstLine="200" w:firstLineChars="200"/>
      <w:jc w:val="left"/>
    </w:pPr>
    <w:rPr>
      <w:rFonts w:ascii="Calibri" w:hAnsi="Calibri"/>
      <w:sz w:val="18"/>
      <w:szCs w:val="18"/>
    </w:rPr>
  </w:style>
  <w:style w:type="paragraph" w:styleId="20">
    <w:name w:val="toc 3"/>
    <w:basedOn w:val="1"/>
    <w:next w:val="1"/>
    <w:qFormat/>
    <w:uiPriority w:val="0"/>
    <w:pPr>
      <w:spacing w:line="360" w:lineRule="auto"/>
      <w:ind w:left="420" w:firstLine="200" w:firstLineChars="200"/>
      <w:jc w:val="left"/>
    </w:pPr>
    <w:rPr>
      <w:rFonts w:ascii="Calibri" w:hAnsi="Calibri"/>
      <w:i/>
      <w:iCs/>
      <w:sz w:val="20"/>
      <w:szCs w:val="20"/>
    </w:rPr>
  </w:style>
  <w:style w:type="paragraph" w:styleId="21">
    <w:name w:val="Plain Text"/>
    <w:basedOn w:val="1"/>
    <w:link w:val="80"/>
    <w:qFormat/>
    <w:uiPriority w:val="0"/>
    <w:rPr>
      <w:rFonts w:ascii="宋体" w:hAnsi="Courier New"/>
      <w:szCs w:val="20"/>
    </w:rPr>
  </w:style>
  <w:style w:type="paragraph" w:styleId="22">
    <w:name w:val="toc 8"/>
    <w:basedOn w:val="1"/>
    <w:next w:val="1"/>
    <w:qFormat/>
    <w:uiPriority w:val="0"/>
    <w:pPr>
      <w:spacing w:line="360" w:lineRule="auto"/>
      <w:ind w:left="1470" w:firstLine="200" w:firstLineChars="200"/>
      <w:jc w:val="left"/>
    </w:pPr>
    <w:rPr>
      <w:rFonts w:ascii="Calibri" w:hAnsi="Calibri"/>
      <w:sz w:val="18"/>
      <w:szCs w:val="18"/>
    </w:rPr>
  </w:style>
  <w:style w:type="paragraph" w:styleId="23">
    <w:name w:val="Date"/>
    <w:basedOn w:val="1"/>
    <w:next w:val="1"/>
    <w:link w:val="81"/>
    <w:qFormat/>
    <w:uiPriority w:val="0"/>
    <w:pPr>
      <w:ind w:left="100" w:leftChars="2500"/>
    </w:pPr>
    <w:rPr>
      <w:kern w:val="0"/>
      <w:sz w:val="28"/>
    </w:rPr>
  </w:style>
  <w:style w:type="paragraph" w:styleId="24">
    <w:name w:val="Body Text Indent 2"/>
    <w:basedOn w:val="1"/>
    <w:link w:val="82"/>
    <w:qFormat/>
    <w:uiPriority w:val="0"/>
    <w:pPr>
      <w:ind w:firstLine="420"/>
    </w:pPr>
    <w:rPr>
      <w:rFonts w:ascii="宋体"/>
      <w:kern w:val="0"/>
      <w:sz w:val="20"/>
    </w:rPr>
  </w:style>
  <w:style w:type="paragraph" w:styleId="25">
    <w:name w:val="Balloon Text"/>
    <w:basedOn w:val="1"/>
    <w:link w:val="46"/>
    <w:unhideWhenUsed/>
    <w:qFormat/>
    <w:uiPriority w:val="0"/>
    <w:rPr>
      <w:sz w:val="18"/>
      <w:szCs w:val="18"/>
    </w:rPr>
  </w:style>
  <w:style w:type="paragraph" w:styleId="26">
    <w:name w:val="footer"/>
    <w:basedOn w:val="1"/>
    <w:link w:val="59"/>
    <w:unhideWhenUsed/>
    <w:qFormat/>
    <w:uiPriority w:val="0"/>
    <w:pPr>
      <w:tabs>
        <w:tab w:val="center" w:pos="4153"/>
        <w:tab w:val="right" w:pos="8306"/>
      </w:tabs>
      <w:snapToGrid w:val="0"/>
      <w:jc w:val="left"/>
    </w:pPr>
    <w:rPr>
      <w:sz w:val="18"/>
      <w:szCs w:val="18"/>
    </w:rPr>
  </w:style>
  <w:style w:type="paragraph" w:styleId="27">
    <w:name w:val="header"/>
    <w:basedOn w:val="1"/>
    <w:link w:val="58"/>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line="360" w:lineRule="auto"/>
      <w:ind w:firstLine="200" w:firstLineChars="200"/>
      <w:jc w:val="left"/>
    </w:pPr>
    <w:rPr>
      <w:rFonts w:ascii="Calibri" w:hAnsi="Calibri"/>
      <w:b/>
      <w:bCs/>
      <w:caps/>
      <w:sz w:val="20"/>
      <w:szCs w:val="20"/>
    </w:rPr>
  </w:style>
  <w:style w:type="paragraph" w:styleId="29">
    <w:name w:val="toc 4"/>
    <w:basedOn w:val="1"/>
    <w:next w:val="1"/>
    <w:qFormat/>
    <w:uiPriority w:val="0"/>
    <w:pPr>
      <w:spacing w:line="360" w:lineRule="auto"/>
      <w:ind w:left="630" w:firstLine="200" w:firstLineChars="200"/>
      <w:jc w:val="left"/>
    </w:pPr>
    <w:rPr>
      <w:rFonts w:ascii="Calibri" w:hAnsi="Calibri"/>
      <w:sz w:val="18"/>
      <w:szCs w:val="18"/>
    </w:rPr>
  </w:style>
  <w:style w:type="paragraph" w:styleId="30">
    <w:name w:val="toc 6"/>
    <w:basedOn w:val="1"/>
    <w:next w:val="1"/>
    <w:qFormat/>
    <w:uiPriority w:val="0"/>
    <w:pPr>
      <w:spacing w:line="360" w:lineRule="auto"/>
      <w:ind w:left="1050" w:firstLine="200" w:firstLineChars="200"/>
      <w:jc w:val="left"/>
    </w:pPr>
    <w:rPr>
      <w:rFonts w:ascii="Calibri" w:hAnsi="Calibri"/>
      <w:sz w:val="18"/>
      <w:szCs w:val="18"/>
    </w:rPr>
  </w:style>
  <w:style w:type="paragraph" w:styleId="31">
    <w:name w:val="Body Text Indent 3"/>
    <w:basedOn w:val="1"/>
    <w:link w:val="83"/>
    <w:qFormat/>
    <w:uiPriority w:val="0"/>
    <w:pPr>
      <w:snapToGrid w:val="0"/>
      <w:spacing w:line="360" w:lineRule="auto"/>
      <w:ind w:firstLine="420" w:firstLineChars="200"/>
    </w:pPr>
    <w:rPr>
      <w:color w:val="0000FF"/>
      <w:kern w:val="0"/>
      <w:sz w:val="20"/>
      <w:szCs w:val="21"/>
    </w:rPr>
  </w:style>
  <w:style w:type="paragraph" w:styleId="32">
    <w:name w:val="toc 2"/>
    <w:basedOn w:val="1"/>
    <w:next w:val="1"/>
    <w:qFormat/>
    <w:uiPriority w:val="39"/>
    <w:pPr>
      <w:spacing w:line="360" w:lineRule="auto"/>
      <w:ind w:left="210" w:firstLine="200" w:firstLineChars="200"/>
      <w:jc w:val="left"/>
    </w:pPr>
    <w:rPr>
      <w:rFonts w:ascii="Calibri" w:hAnsi="Calibri"/>
      <w:smallCaps/>
      <w:sz w:val="20"/>
      <w:szCs w:val="20"/>
    </w:rPr>
  </w:style>
  <w:style w:type="paragraph" w:styleId="33">
    <w:name w:val="toc 9"/>
    <w:basedOn w:val="1"/>
    <w:next w:val="1"/>
    <w:qFormat/>
    <w:uiPriority w:val="0"/>
    <w:pPr>
      <w:spacing w:line="360" w:lineRule="auto"/>
      <w:ind w:left="1680" w:firstLine="200" w:firstLineChars="200"/>
      <w:jc w:val="left"/>
    </w:pPr>
    <w:rPr>
      <w:rFonts w:ascii="Calibri" w:hAnsi="Calibri"/>
      <w:sz w:val="18"/>
      <w:szCs w:val="18"/>
    </w:rPr>
  </w:style>
  <w:style w:type="paragraph" w:styleId="3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5">
    <w:name w:val="Title"/>
    <w:basedOn w:val="1"/>
    <w:next w:val="1"/>
    <w:link w:val="86"/>
    <w:qFormat/>
    <w:uiPriority w:val="0"/>
    <w:pPr>
      <w:spacing w:line="360" w:lineRule="auto"/>
      <w:jc w:val="center"/>
    </w:pPr>
    <w:rPr>
      <w:rFonts w:ascii="宋体" w:hAnsi="宋体"/>
      <w:szCs w:val="20"/>
    </w:rPr>
  </w:style>
  <w:style w:type="paragraph" w:styleId="36">
    <w:name w:val="annotation subject"/>
    <w:basedOn w:val="16"/>
    <w:next w:val="16"/>
    <w:link w:val="70"/>
    <w:qFormat/>
    <w:uiPriority w:val="0"/>
    <w:rPr>
      <w:b/>
      <w:bCs/>
    </w:rPr>
  </w:style>
  <w:style w:type="paragraph" w:styleId="37">
    <w:name w:val="Body Text First Indent"/>
    <w:basedOn w:val="17"/>
    <w:link w:val="77"/>
    <w:qFormat/>
    <w:uiPriority w:val="0"/>
    <w:pPr>
      <w:ind w:firstLine="420" w:firstLineChars="100"/>
    </w:pPr>
    <w:rPr>
      <w:rFonts w:hint="eastAsia"/>
    </w:rPr>
  </w:style>
  <w:style w:type="table" w:styleId="39">
    <w:name w:val="Table Grid"/>
    <w:basedOn w:val="3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22"/>
    <w:rPr>
      <w:b/>
      <w:bCs/>
    </w:rPr>
  </w:style>
  <w:style w:type="character" w:styleId="42">
    <w:name w:val="page number"/>
    <w:qFormat/>
    <w:uiPriority w:val="0"/>
    <w:rPr>
      <w:rFonts w:hint="default" w:ascii="Times New Roman"/>
    </w:rPr>
  </w:style>
  <w:style w:type="character" w:styleId="43">
    <w:name w:val="FollowedHyperlink"/>
    <w:qFormat/>
    <w:uiPriority w:val="0"/>
    <w:rPr>
      <w:color w:val="954F72"/>
      <w:u w:val="single"/>
    </w:rPr>
  </w:style>
  <w:style w:type="character" w:styleId="44">
    <w:name w:val="Hyperlink"/>
    <w:qFormat/>
    <w:uiPriority w:val="99"/>
    <w:rPr>
      <w:color w:val="0000FF"/>
      <w:u w:val="single"/>
    </w:rPr>
  </w:style>
  <w:style w:type="character" w:styleId="45">
    <w:name w:val="annotation reference"/>
    <w:qFormat/>
    <w:uiPriority w:val="0"/>
    <w:rPr>
      <w:sz w:val="21"/>
      <w:szCs w:val="21"/>
    </w:rPr>
  </w:style>
  <w:style w:type="character" w:customStyle="1" w:styleId="46">
    <w:name w:val="批注框文本 字符"/>
    <w:basedOn w:val="40"/>
    <w:link w:val="25"/>
    <w:qFormat/>
    <w:uiPriority w:val="99"/>
    <w:rPr>
      <w:sz w:val="18"/>
      <w:szCs w:val="18"/>
    </w:rPr>
  </w:style>
  <w:style w:type="character" w:customStyle="1" w:styleId="47">
    <w:name w:val="标题 1 字符"/>
    <w:basedOn w:val="40"/>
    <w:link w:val="2"/>
    <w:qFormat/>
    <w:uiPriority w:val="0"/>
    <w:rPr>
      <w:rFonts w:ascii="Times New Roman" w:hAnsi="Times New Roman" w:eastAsia="宋体" w:cs="Times New Roman"/>
      <w:b/>
      <w:bCs/>
      <w:sz w:val="28"/>
      <w:szCs w:val="24"/>
    </w:rPr>
  </w:style>
  <w:style w:type="character" w:customStyle="1" w:styleId="48">
    <w:name w:val="标题 2 字符"/>
    <w:basedOn w:val="40"/>
    <w:link w:val="3"/>
    <w:qFormat/>
    <w:uiPriority w:val="0"/>
    <w:rPr>
      <w:rFonts w:ascii="Times New Roman" w:hAnsi="Times New Roman" w:eastAsia="黑体" w:cs="Times New Roman"/>
      <w:szCs w:val="20"/>
    </w:rPr>
  </w:style>
  <w:style w:type="character" w:customStyle="1" w:styleId="49">
    <w:name w:val="标题 3 字符"/>
    <w:basedOn w:val="40"/>
    <w:link w:val="4"/>
    <w:qFormat/>
    <w:uiPriority w:val="9"/>
    <w:rPr>
      <w:rFonts w:ascii="Calibri" w:hAnsi="Calibri" w:eastAsia="宋体" w:cs="Times New Roman"/>
      <w:b/>
      <w:bCs/>
      <w:sz w:val="32"/>
      <w:szCs w:val="32"/>
    </w:rPr>
  </w:style>
  <w:style w:type="character" w:customStyle="1" w:styleId="50">
    <w:name w:val="标题 4 字符"/>
    <w:basedOn w:val="40"/>
    <w:link w:val="5"/>
    <w:qFormat/>
    <w:uiPriority w:val="0"/>
    <w:rPr>
      <w:rFonts w:ascii="Arial" w:hAnsi="Arial" w:eastAsia="黑体" w:cs="Times New Roman"/>
      <w:b/>
      <w:sz w:val="28"/>
      <w:szCs w:val="20"/>
    </w:rPr>
  </w:style>
  <w:style w:type="character" w:customStyle="1" w:styleId="51">
    <w:name w:val="标题 5 字符"/>
    <w:basedOn w:val="40"/>
    <w:link w:val="6"/>
    <w:qFormat/>
    <w:uiPriority w:val="0"/>
    <w:rPr>
      <w:rFonts w:ascii="Times New Roman" w:hAnsi="Times New Roman" w:eastAsia="黑体" w:cs="Times New Roman"/>
      <w:szCs w:val="20"/>
    </w:rPr>
  </w:style>
  <w:style w:type="character" w:customStyle="1" w:styleId="52">
    <w:name w:val="标题 6 字符"/>
    <w:basedOn w:val="40"/>
    <w:link w:val="7"/>
    <w:qFormat/>
    <w:uiPriority w:val="0"/>
    <w:rPr>
      <w:rFonts w:ascii="Arial" w:hAnsi="Arial" w:eastAsia="黑体" w:cs="Times New Roman"/>
      <w:b/>
      <w:sz w:val="24"/>
      <w:szCs w:val="20"/>
    </w:rPr>
  </w:style>
  <w:style w:type="character" w:customStyle="1" w:styleId="53">
    <w:name w:val="标题 7 字符"/>
    <w:basedOn w:val="40"/>
    <w:link w:val="8"/>
    <w:qFormat/>
    <w:uiPriority w:val="0"/>
    <w:rPr>
      <w:rFonts w:ascii="Times New Roman" w:hAnsi="Times New Roman" w:eastAsia="宋体" w:cs="Times New Roman"/>
      <w:b/>
      <w:sz w:val="24"/>
      <w:szCs w:val="20"/>
    </w:rPr>
  </w:style>
  <w:style w:type="character" w:customStyle="1" w:styleId="54">
    <w:name w:val="标题 8 字符"/>
    <w:basedOn w:val="40"/>
    <w:link w:val="9"/>
    <w:qFormat/>
    <w:uiPriority w:val="0"/>
    <w:rPr>
      <w:rFonts w:ascii="Arial" w:hAnsi="Arial" w:eastAsia="黑体" w:cs="Times New Roman"/>
      <w:sz w:val="24"/>
      <w:szCs w:val="20"/>
    </w:rPr>
  </w:style>
  <w:style w:type="character" w:customStyle="1" w:styleId="55">
    <w:name w:val="标题 9 字符"/>
    <w:basedOn w:val="40"/>
    <w:link w:val="10"/>
    <w:qFormat/>
    <w:uiPriority w:val="0"/>
    <w:rPr>
      <w:rFonts w:ascii="Arial" w:hAnsi="Arial" w:eastAsia="黑体" w:cs="Times New Roman"/>
      <w:szCs w:val="20"/>
    </w:rPr>
  </w:style>
  <w:style w:type="paragraph" w:customStyle="1" w:styleId="56">
    <w:name w:val="样式6"/>
    <w:basedOn w:val="1"/>
    <w:link w:val="57"/>
    <w:qFormat/>
    <w:uiPriority w:val="0"/>
    <w:pPr>
      <w:topLinePunct/>
      <w:spacing w:before="460" w:after="460" w:line="480" w:lineRule="exact"/>
      <w:jc w:val="center"/>
    </w:pPr>
    <w:rPr>
      <w:rFonts w:eastAsia="黑体"/>
      <w:sz w:val="32"/>
      <w:szCs w:val="20"/>
    </w:rPr>
  </w:style>
  <w:style w:type="character" w:customStyle="1" w:styleId="57">
    <w:name w:val="样式6 Char"/>
    <w:basedOn w:val="40"/>
    <w:link w:val="56"/>
    <w:qFormat/>
    <w:uiPriority w:val="0"/>
    <w:rPr>
      <w:rFonts w:ascii="Times New Roman" w:hAnsi="Times New Roman" w:eastAsia="黑体" w:cs="Times New Roman"/>
      <w:sz w:val="32"/>
      <w:szCs w:val="20"/>
    </w:rPr>
  </w:style>
  <w:style w:type="character" w:customStyle="1" w:styleId="58">
    <w:name w:val="页眉 字符"/>
    <w:basedOn w:val="40"/>
    <w:link w:val="27"/>
    <w:qFormat/>
    <w:uiPriority w:val="0"/>
    <w:rPr>
      <w:rFonts w:ascii="Times New Roman" w:hAnsi="Times New Roman" w:eastAsia="宋体" w:cs="Times New Roman"/>
      <w:sz w:val="18"/>
      <w:szCs w:val="18"/>
    </w:rPr>
  </w:style>
  <w:style w:type="character" w:customStyle="1" w:styleId="59">
    <w:name w:val="页脚 字符"/>
    <w:basedOn w:val="40"/>
    <w:link w:val="26"/>
    <w:qFormat/>
    <w:uiPriority w:val="0"/>
    <w:rPr>
      <w:rFonts w:ascii="Times New Roman" w:hAnsi="Times New Roman" w:eastAsia="宋体" w:cs="Times New Roman"/>
      <w:sz w:val="18"/>
      <w:szCs w:val="18"/>
    </w:rPr>
  </w:style>
  <w:style w:type="paragraph" w:customStyle="1" w:styleId="60">
    <w:name w:val="样式2"/>
    <w:basedOn w:val="1"/>
    <w:qFormat/>
    <w:uiPriority w:val="0"/>
    <w:pPr>
      <w:widowControl/>
      <w:spacing w:line="312" w:lineRule="exact"/>
    </w:pPr>
    <w:rPr>
      <w:rFonts w:ascii="EU-F1" w:eastAsia="黑体"/>
      <w:color w:val="000000"/>
      <w:kern w:val="44"/>
      <w:szCs w:val="21"/>
    </w:rPr>
  </w:style>
  <w:style w:type="paragraph" w:customStyle="1" w:styleId="61">
    <w:name w:val="样式1"/>
    <w:basedOn w:val="1"/>
    <w:link w:val="232"/>
    <w:qFormat/>
    <w:uiPriority w:val="0"/>
    <w:pPr>
      <w:spacing w:line="480" w:lineRule="auto"/>
    </w:pPr>
    <w:rPr>
      <w:rFonts w:ascii="EU-F1" w:eastAsia="黑体"/>
      <w:szCs w:val="21"/>
    </w:rPr>
  </w:style>
  <w:style w:type="paragraph" w:customStyle="1" w:styleId="62">
    <w:name w:val="表头"/>
    <w:basedOn w:val="1"/>
    <w:qFormat/>
    <w:uiPriority w:val="0"/>
    <w:pPr>
      <w:spacing w:before="160" w:after="60" w:line="312" w:lineRule="exact"/>
      <w:jc w:val="center"/>
    </w:pPr>
    <w:rPr>
      <w:rFonts w:ascii="EU-F1" w:eastAsia="黑体"/>
      <w:szCs w:val="21"/>
    </w:rPr>
  </w:style>
  <w:style w:type="paragraph" w:customStyle="1" w:styleId="63">
    <w:name w:val="图片"/>
    <w:basedOn w:val="1"/>
    <w:qFormat/>
    <w:uiPriority w:val="0"/>
    <w:pPr>
      <w:snapToGrid w:val="0"/>
      <w:spacing w:before="100" w:after="60"/>
      <w:jc w:val="center"/>
    </w:pPr>
  </w:style>
  <w:style w:type="paragraph" w:customStyle="1" w:styleId="64">
    <w:name w:val="图说"/>
    <w:basedOn w:val="1"/>
    <w:qFormat/>
    <w:uiPriority w:val="0"/>
    <w:pPr>
      <w:topLinePunct/>
      <w:spacing w:before="60" w:after="160" w:line="312" w:lineRule="exact"/>
      <w:jc w:val="center"/>
    </w:pPr>
    <w:rPr>
      <w:rFonts w:ascii="EU-F1" w:eastAsia="黑体"/>
      <w:szCs w:val="21"/>
    </w:rPr>
  </w:style>
  <w:style w:type="paragraph" w:customStyle="1" w:styleId="65">
    <w:name w:val="Char3"/>
    <w:basedOn w:val="1"/>
    <w:semiHidden/>
    <w:qFormat/>
    <w:uiPriority w:val="0"/>
    <w:rPr>
      <w:szCs w:val="20"/>
    </w:rPr>
  </w:style>
  <w:style w:type="paragraph" w:customStyle="1" w:styleId="66">
    <w:name w:val="样式4"/>
    <w:basedOn w:val="1"/>
    <w:qFormat/>
    <w:uiPriority w:val="0"/>
    <w:pPr>
      <w:spacing w:before="240" w:line="600" w:lineRule="exact"/>
      <w:jc w:val="center"/>
    </w:pPr>
    <w:rPr>
      <w:rFonts w:eastAsia="黑体"/>
      <w:sz w:val="54"/>
      <w:szCs w:val="54"/>
    </w:rPr>
  </w:style>
  <w:style w:type="paragraph" w:customStyle="1" w:styleId="67">
    <w:name w:val="样式4a"/>
    <w:basedOn w:val="1"/>
    <w:qFormat/>
    <w:uiPriority w:val="0"/>
    <w:pPr>
      <w:spacing w:line="600" w:lineRule="exact"/>
      <w:ind w:left="-113" w:right="-113"/>
      <w:jc w:val="center"/>
    </w:pPr>
    <w:rPr>
      <w:rFonts w:eastAsia="黑体"/>
      <w:sz w:val="54"/>
      <w:szCs w:val="54"/>
    </w:rPr>
  </w:style>
  <w:style w:type="paragraph" w:customStyle="1" w:styleId="68">
    <w:name w:val="样式7"/>
    <w:basedOn w:val="2"/>
    <w:qFormat/>
    <w:uiPriority w:val="0"/>
    <w:pPr>
      <w:topLinePunct/>
      <w:spacing w:before="120" w:after="120" w:line="360" w:lineRule="auto"/>
      <w:jc w:val="center"/>
    </w:pPr>
    <w:rPr>
      <w:rFonts w:hAnsi="宋体" w:eastAsia="黑体"/>
      <w:b w:val="0"/>
      <w:bCs w:val="0"/>
      <w:color w:val="000000"/>
      <w:sz w:val="44"/>
      <w:szCs w:val="20"/>
    </w:rPr>
  </w:style>
  <w:style w:type="character" w:customStyle="1" w:styleId="69">
    <w:name w:val="批注文字 字符"/>
    <w:basedOn w:val="40"/>
    <w:link w:val="16"/>
    <w:qFormat/>
    <w:uiPriority w:val="99"/>
    <w:rPr>
      <w:rFonts w:ascii="Times New Roman" w:hAnsi="Times New Roman" w:eastAsia="宋体" w:cs="Times New Roman"/>
      <w:szCs w:val="24"/>
    </w:rPr>
  </w:style>
  <w:style w:type="character" w:customStyle="1" w:styleId="70">
    <w:name w:val="批注主题 字符"/>
    <w:basedOn w:val="69"/>
    <w:link w:val="36"/>
    <w:qFormat/>
    <w:uiPriority w:val="0"/>
    <w:rPr>
      <w:rFonts w:ascii="Times New Roman" w:hAnsi="Times New Roman" w:eastAsia="宋体" w:cs="Times New Roman"/>
      <w:b/>
      <w:bCs/>
      <w:szCs w:val="24"/>
    </w:rPr>
  </w:style>
  <w:style w:type="paragraph" w:customStyle="1" w:styleId="71">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72">
    <w:name w:val="默认段落字体 Para Char Char Char Char Char"/>
    <w:basedOn w:val="1"/>
    <w:semiHidden/>
    <w:qFormat/>
    <w:uiPriority w:val="0"/>
    <w:rPr>
      <w:rFonts w:ascii="宋体" w:hAnsi="宋体"/>
      <w:b/>
      <w:color w:val="000000"/>
      <w:sz w:val="24"/>
    </w:rPr>
  </w:style>
  <w:style w:type="character" w:customStyle="1" w:styleId="73">
    <w:name w:val="文档结构图 字符"/>
    <w:basedOn w:val="40"/>
    <w:link w:val="15"/>
    <w:qFormat/>
    <w:uiPriority w:val="0"/>
    <w:rPr>
      <w:rFonts w:ascii="宋体" w:hAnsi="Times New Roman" w:eastAsia="宋体" w:cs="Times New Roman"/>
      <w:sz w:val="18"/>
      <w:szCs w:val="18"/>
    </w:rPr>
  </w:style>
  <w:style w:type="character" w:customStyle="1" w:styleId="74">
    <w:name w:val="high-light-bg"/>
    <w:basedOn w:val="40"/>
    <w:qFormat/>
    <w:uiPriority w:val="0"/>
  </w:style>
  <w:style w:type="character" w:customStyle="1" w:styleId="75">
    <w:name w:val="apple-converted-space"/>
    <w:basedOn w:val="40"/>
    <w:qFormat/>
    <w:uiPriority w:val="0"/>
  </w:style>
  <w:style w:type="character" w:customStyle="1" w:styleId="76">
    <w:name w:val="正文文本 字符"/>
    <w:basedOn w:val="40"/>
    <w:link w:val="17"/>
    <w:qFormat/>
    <w:uiPriority w:val="99"/>
    <w:rPr>
      <w:rFonts w:ascii="Times New Roman" w:hAnsi="Times New Roman" w:eastAsia="宋体" w:cs="Times New Roman"/>
      <w:szCs w:val="24"/>
    </w:rPr>
  </w:style>
  <w:style w:type="character" w:customStyle="1" w:styleId="77">
    <w:name w:val="正文文本首行缩进 字符"/>
    <w:basedOn w:val="76"/>
    <w:link w:val="37"/>
    <w:qFormat/>
    <w:uiPriority w:val="0"/>
    <w:rPr>
      <w:rFonts w:ascii="Times New Roman" w:hAnsi="Times New Roman" w:eastAsia="宋体" w:cs="Times New Roman"/>
      <w:szCs w:val="24"/>
    </w:rPr>
  </w:style>
  <w:style w:type="character" w:customStyle="1" w:styleId="78">
    <w:name w:val="题注 字符"/>
    <w:link w:val="13"/>
    <w:qFormat/>
    <w:uiPriority w:val="0"/>
    <w:rPr>
      <w:rFonts w:ascii="Cambria" w:hAnsi="Cambria" w:eastAsia="黑体" w:cs="Times New Roman"/>
      <w:sz w:val="20"/>
      <w:szCs w:val="20"/>
    </w:rPr>
  </w:style>
  <w:style w:type="character" w:customStyle="1" w:styleId="79">
    <w:name w:val="正文文本缩进 字符"/>
    <w:basedOn w:val="40"/>
    <w:link w:val="18"/>
    <w:qFormat/>
    <w:uiPriority w:val="0"/>
    <w:rPr>
      <w:rFonts w:ascii="Times New Roman" w:hAnsi="Times New Roman" w:eastAsia="宋体" w:cs="Times New Roman"/>
      <w:color w:val="000000"/>
      <w:kern w:val="0"/>
      <w:sz w:val="20"/>
      <w:szCs w:val="24"/>
    </w:rPr>
  </w:style>
  <w:style w:type="character" w:customStyle="1" w:styleId="80">
    <w:name w:val="纯文本 字符"/>
    <w:basedOn w:val="40"/>
    <w:link w:val="21"/>
    <w:qFormat/>
    <w:uiPriority w:val="0"/>
    <w:rPr>
      <w:rFonts w:ascii="宋体" w:hAnsi="Courier New" w:eastAsia="宋体" w:cs="Times New Roman"/>
      <w:szCs w:val="20"/>
    </w:rPr>
  </w:style>
  <w:style w:type="character" w:customStyle="1" w:styleId="81">
    <w:name w:val="日期 字符"/>
    <w:basedOn w:val="40"/>
    <w:link w:val="23"/>
    <w:qFormat/>
    <w:uiPriority w:val="0"/>
    <w:rPr>
      <w:rFonts w:ascii="Times New Roman" w:hAnsi="Times New Roman" w:eastAsia="宋体" w:cs="Times New Roman"/>
      <w:kern w:val="0"/>
      <w:sz w:val="28"/>
      <w:szCs w:val="24"/>
    </w:rPr>
  </w:style>
  <w:style w:type="character" w:customStyle="1" w:styleId="82">
    <w:name w:val="正文文本缩进 2 字符"/>
    <w:basedOn w:val="40"/>
    <w:link w:val="24"/>
    <w:qFormat/>
    <w:uiPriority w:val="0"/>
    <w:rPr>
      <w:rFonts w:ascii="宋体" w:hAnsi="Times New Roman" w:eastAsia="宋体" w:cs="Times New Roman"/>
      <w:kern w:val="0"/>
      <w:sz w:val="20"/>
      <w:szCs w:val="24"/>
    </w:rPr>
  </w:style>
  <w:style w:type="character" w:customStyle="1" w:styleId="83">
    <w:name w:val="正文文本缩进 3 字符"/>
    <w:basedOn w:val="40"/>
    <w:link w:val="31"/>
    <w:qFormat/>
    <w:uiPriority w:val="0"/>
    <w:rPr>
      <w:rFonts w:ascii="Times New Roman" w:hAnsi="Times New Roman" w:eastAsia="宋体" w:cs="Times New Roman"/>
      <w:color w:val="0000FF"/>
      <w:kern w:val="0"/>
      <w:sz w:val="20"/>
      <w:szCs w:val="21"/>
    </w:rPr>
  </w:style>
  <w:style w:type="character" w:customStyle="1" w:styleId="84">
    <w:name w:val="标题 Char"/>
    <w:basedOn w:val="40"/>
    <w:link w:val="85"/>
    <w:qFormat/>
    <w:uiPriority w:val="0"/>
    <w:rPr>
      <w:rFonts w:eastAsia="宋体" w:asciiTheme="majorHAnsi" w:hAnsiTheme="majorHAnsi" w:cstheme="majorBidi"/>
      <w:b/>
      <w:bCs/>
      <w:sz w:val="32"/>
      <w:szCs w:val="32"/>
    </w:rPr>
  </w:style>
  <w:style w:type="paragraph" w:customStyle="1" w:styleId="85">
    <w:name w:val="标题5"/>
    <w:basedOn w:val="1"/>
    <w:next w:val="1"/>
    <w:link w:val="84"/>
    <w:unhideWhenUsed/>
    <w:qFormat/>
    <w:uiPriority w:val="0"/>
    <w:pPr>
      <w:spacing w:line="360" w:lineRule="auto"/>
      <w:jc w:val="center"/>
    </w:pPr>
    <w:rPr>
      <w:rFonts w:asciiTheme="majorHAnsi" w:hAnsiTheme="majorHAnsi" w:cstheme="majorBidi"/>
      <w:b/>
      <w:bCs/>
      <w:sz w:val="32"/>
      <w:szCs w:val="32"/>
    </w:rPr>
  </w:style>
  <w:style w:type="character" w:customStyle="1" w:styleId="86">
    <w:name w:val="标题 字符"/>
    <w:link w:val="35"/>
    <w:qFormat/>
    <w:locked/>
    <w:uiPriority w:val="0"/>
    <w:rPr>
      <w:rFonts w:ascii="宋体" w:hAnsi="宋体" w:eastAsia="宋体" w:cs="Times New Roman"/>
      <w:szCs w:val="20"/>
    </w:rPr>
  </w:style>
  <w:style w:type="paragraph" w:customStyle="1" w:styleId="87">
    <w:name w:val="无间隔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88">
    <w:name w:val="默认段落字体 Para Char Char Char Char"/>
    <w:basedOn w:val="1"/>
    <w:qFormat/>
    <w:uiPriority w:val="0"/>
  </w:style>
  <w:style w:type="paragraph" w:customStyle="1" w:styleId="89">
    <w:name w:val="正文内容"/>
    <w:basedOn w:val="1"/>
    <w:qFormat/>
    <w:uiPriority w:val="0"/>
    <w:pPr>
      <w:adjustRightInd w:val="0"/>
      <w:snapToGrid w:val="0"/>
    </w:pPr>
    <w:rPr>
      <w:rFonts w:ascii="宋体" w:hAnsi="宋体"/>
      <w:sz w:val="18"/>
      <w:szCs w:val="21"/>
    </w:rPr>
  </w:style>
  <w:style w:type="paragraph" w:customStyle="1" w:styleId="90">
    <w:name w:val="页脚1"/>
    <w:basedOn w:val="1"/>
    <w:qFormat/>
    <w:uiPriority w:val="0"/>
    <w:pPr>
      <w:tabs>
        <w:tab w:val="center" w:pos="4153"/>
        <w:tab w:val="right" w:pos="8306"/>
      </w:tabs>
      <w:snapToGrid w:val="0"/>
      <w:jc w:val="left"/>
    </w:pPr>
    <w:rPr>
      <w:rFonts w:ascii="方正小标宋_GBK" w:hAnsi="宋体" w:eastAsia="方正小标宋_GBK"/>
      <w:b/>
      <w:sz w:val="18"/>
      <w:szCs w:val="20"/>
    </w:rPr>
  </w:style>
  <w:style w:type="paragraph" w:customStyle="1" w:styleId="91">
    <w:name w:val="p17"/>
    <w:basedOn w:val="1"/>
    <w:qFormat/>
    <w:uiPriority w:val="0"/>
    <w:pPr>
      <w:widowControl/>
    </w:pPr>
    <w:rPr>
      <w:kern w:val="0"/>
      <w:szCs w:val="21"/>
    </w:rPr>
  </w:style>
  <w:style w:type="paragraph" w:customStyle="1" w:styleId="92">
    <w:name w:val="标题2"/>
    <w:basedOn w:val="1"/>
    <w:qFormat/>
    <w:uiPriority w:val="0"/>
    <w:pPr>
      <w:tabs>
        <w:tab w:val="left" w:pos="840"/>
      </w:tabs>
      <w:adjustRightInd w:val="0"/>
      <w:snapToGrid w:val="0"/>
      <w:spacing w:line="320" w:lineRule="exact"/>
      <w:jc w:val="left"/>
      <w:outlineLvl w:val="1"/>
    </w:pPr>
    <w:rPr>
      <w:rFonts w:ascii="宋体" w:hAnsi="宋体" w:eastAsia="黑体"/>
      <w:b/>
      <w:color w:val="000000"/>
      <w:kern w:val="0"/>
      <w:szCs w:val="21"/>
    </w:rPr>
  </w:style>
  <w:style w:type="paragraph" w:customStyle="1" w:styleId="93">
    <w:name w:val="小五黑体"/>
    <w:basedOn w:val="1"/>
    <w:qFormat/>
    <w:uiPriority w:val="0"/>
    <w:pPr>
      <w:spacing w:line="318" w:lineRule="exact"/>
      <w:jc w:val="center"/>
    </w:pPr>
    <w:rPr>
      <w:rFonts w:ascii="汉仪中黑简" w:eastAsia="汉仪中黑简"/>
      <w:bCs/>
      <w:sz w:val="18"/>
      <w:szCs w:val="21"/>
    </w:rPr>
  </w:style>
  <w:style w:type="paragraph" w:customStyle="1" w:styleId="94">
    <w:name w:val="样式 标题 4 + 宋体 行距: 1.5 倍行距"/>
    <w:basedOn w:val="5"/>
    <w:qFormat/>
    <w:uiPriority w:val="0"/>
    <w:pPr>
      <w:spacing w:before="0" w:after="0" w:line="360" w:lineRule="auto"/>
    </w:pPr>
    <w:rPr>
      <w:rFonts w:ascii="宋体" w:hAnsi="宋体" w:eastAsia="宋体"/>
      <w:bCs/>
      <w:kern w:val="0"/>
      <w:sz w:val="21"/>
    </w:rPr>
  </w:style>
  <w:style w:type="paragraph" w:customStyle="1" w:styleId="95">
    <w:name w:val="Pa0"/>
    <w:basedOn w:val="1"/>
    <w:next w:val="1"/>
    <w:qFormat/>
    <w:uiPriority w:val="0"/>
    <w:pPr>
      <w:autoSpaceDE w:val="0"/>
      <w:autoSpaceDN w:val="0"/>
      <w:adjustRightInd w:val="0"/>
      <w:spacing w:line="241" w:lineRule="atLeast"/>
      <w:jc w:val="left"/>
    </w:pPr>
    <w:rPr>
      <w:kern w:val="0"/>
      <w:sz w:val="24"/>
      <w:szCs w:val="20"/>
    </w:rPr>
  </w:style>
  <w:style w:type="paragraph" w:customStyle="1" w:styleId="96">
    <w:name w:val="样式 标题 4 + 宋体 行距: 1.5 倍行距 首行缩进:  2 字符"/>
    <w:basedOn w:val="5"/>
    <w:qFormat/>
    <w:uiPriority w:val="0"/>
    <w:pPr>
      <w:spacing w:before="0" w:after="0" w:line="360" w:lineRule="auto"/>
    </w:pPr>
    <w:rPr>
      <w:rFonts w:ascii="宋体" w:hAnsi="宋体" w:eastAsia="宋体"/>
      <w:bCs/>
      <w:kern w:val="0"/>
      <w:sz w:val="21"/>
    </w:rPr>
  </w:style>
  <w:style w:type="paragraph" w:customStyle="1" w:styleId="97">
    <w:name w:val="表名"/>
    <w:basedOn w:val="13"/>
    <w:link w:val="98"/>
    <w:qFormat/>
    <w:uiPriority w:val="0"/>
    <w:pPr>
      <w:keepNext/>
      <w:spacing w:line="240" w:lineRule="auto"/>
      <w:ind w:firstLine="361" w:firstLineChars="150"/>
      <w:jc w:val="left"/>
    </w:pPr>
    <w:rPr>
      <w:rFonts w:ascii="黑体" w:hAnsi="黑体"/>
      <w:b/>
      <w:sz w:val="21"/>
      <w:szCs w:val="24"/>
    </w:rPr>
  </w:style>
  <w:style w:type="character" w:customStyle="1" w:styleId="98">
    <w:name w:val="表名 Char Char"/>
    <w:link w:val="97"/>
    <w:qFormat/>
    <w:uiPriority w:val="0"/>
    <w:rPr>
      <w:rFonts w:ascii="黑体" w:hAnsi="黑体" w:eastAsia="黑体" w:cs="Times New Roman"/>
      <w:b/>
      <w:szCs w:val="24"/>
    </w:rPr>
  </w:style>
  <w:style w:type="paragraph" w:customStyle="1" w:styleId="99">
    <w:name w:val="批注框文本 Char Char"/>
    <w:basedOn w:val="1"/>
    <w:qFormat/>
    <w:uiPriority w:val="99"/>
    <w:pPr>
      <w:ind w:firstLine="200" w:firstLineChars="200"/>
    </w:pPr>
    <w:rPr>
      <w:rFonts w:ascii="Arial" w:hAnsi="Arial"/>
      <w:sz w:val="18"/>
      <w:szCs w:val="18"/>
    </w:rPr>
  </w:style>
  <w:style w:type="paragraph" w:customStyle="1" w:styleId="100">
    <w:name w:val="五号黑体"/>
    <w:basedOn w:val="1"/>
    <w:qFormat/>
    <w:uiPriority w:val="0"/>
    <w:pPr>
      <w:adjustRightInd w:val="0"/>
      <w:snapToGrid w:val="0"/>
      <w:spacing w:line="320" w:lineRule="exact"/>
    </w:pPr>
    <w:rPr>
      <w:rFonts w:eastAsia="汉仪中黑简"/>
      <w:bCs/>
      <w:szCs w:val="21"/>
    </w:rPr>
  </w:style>
  <w:style w:type="paragraph" w:customStyle="1" w:styleId="101">
    <w:name w:val="xl7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02">
    <w:name w:val="批注框文本1"/>
    <w:basedOn w:val="1"/>
    <w:qFormat/>
    <w:uiPriority w:val="0"/>
    <w:rPr>
      <w:rFonts w:ascii="方正小标宋_GBK" w:hAnsi="宋体" w:eastAsia="方正小标宋_GBK"/>
      <w:b/>
      <w:sz w:val="18"/>
      <w:szCs w:val="20"/>
    </w:rPr>
  </w:style>
  <w:style w:type="paragraph" w:customStyle="1" w:styleId="10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4">
    <w:name w:val="列出段落1"/>
    <w:basedOn w:val="1"/>
    <w:qFormat/>
    <w:uiPriority w:val="0"/>
    <w:pPr>
      <w:ind w:firstLine="420" w:firstLineChars="200"/>
    </w:pPr>
  </w:style>
  <w:style w:type="paragraph" w:customStyle="1" w:styleId="105">
    <w:name w:val="小四大宋"/>
    <w:basedOn w:val="1"/>
    <w:qFormat/>
    <w:uiPriority w:val="0"/>
    <w:pPr>
      <w:spacing w:line="320" w:lineRule="exact"/>
    </w:pPr>
    <w:rPr>
      <w:rFonts w:eastAsia="汉仪大宋简"/>
      <w:bCs/>
      <w:sz w:val="24"/>
      <w:szCs w:val="21"/>
    </w:rPr>
  </w:style>
  <w:style w:type="paragraph" w:customStyle="1" w:styleId="106">
    <w:name w:val="修订11"/>
    <w:qFormat/>
    <w:uiPriority w:val="0"/>
    <w:rPr>
      <w:rFonts w:ascii="Arial" w:hAnsi="Arial" w:eastAsia="宋体" w:cs="Times New Roman"/>
      <w:kern w:val="2"/>
      <w:sz w:val="21"/>
      <w:szCs w:val="22"/>
      <w:lang w:val="en-US" w:eastAsia="zh-CN" w:bidi="ar-SA"/>
    </w:rPr>
  </w:style>
  <w:style w:type="paragraph" w:customStyle="1" w:styleId="107">
    <w:name w:val="日期1"/>
    <w:basedOn w:val="1"/>
    <w:next w:val="1"/>
    <w:qFormat/>
    <w:uiPriority w:val="0"/>
    <w:pPr>
      <w:ind w:left="100" w:leftChars="2500"/>
    </w:pPr>
    <w:rPr>
      <w:rFonts w:ascii="方正小标宋_GBK" w:hAnsi="宋体" w:eastAsia="方正小标宋_GBK"/>
      <w:b/>
      <w:spacing w:val="20"/>
      <w:szCs w:val="20"/>
    </w:rPr>
  </w:style>
  <w:style w:type="paragraph" w:customStyle="1" w:styleId="108">
    <w:name w:val="页眉1"/>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09">
    <w:name w:val="列出段落111"/>
    <w:basedOn w:val="1"/>
    <w:qFormat/>
    <w:uiPriority w:val="34"/>
    <w:pPr>
      <w:spacing w:line="360" w:lineRule="auto"/>
      <w:ind w:firstLine="420" w:firstLineChars="200"/>
    </w:pPr>
    <w:rPr>
      <w:rFonts w:ascii="Arial" w:hAnsi="Arial" w:cs="Arial"/>
      <w:szCs w:val="21"/>
    </w:rPr>
  </w:style>
  <w:style w:type="paragraph" w:customStyle="1" w:styleId="110">
    <w:name w:val="xl85"/>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1">
    <w:name w:val="xl8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12">
    <w:name w:val="表格文字"/>
    <w:basedOn w:val="1"/>
    <w:qFormat/>
    <w:uiPriority w:val="0"/>
    <w:pPr>
      <w:spacing w:line="200" w:lineRule="exact"/>
      <w:jc w:val="center"/>
    </w:pPr>
    <w:rPr>
      <w:rFonts w:ascii="汉仪书宋二简" w:hAnsi="宋体" w:eastAsia="汉仪书宋二简"/>
      <w:sz w:val="18"/>
      <w:szCs w:val="18"/>
    </w:rPr>
  </w:style>
  <w:style w:type="paragraph" w:customStyle="1" w:styleId="113">
    <w:name w:val="xl70"/>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4">
    <w:name w:val="列出段落11"/>
    <w:basedOn w:val="1"/>
    <w:qFormat/>
    <w:uiPriority w:val="0"/>
    <w:pPr>
      <w:spacing w:line="360" w:lineRule="auto"/>
      <w:ind w:firstLine="420" w:firstLineChars="200"/>
    </w:pPr>
    <w:rPr>
      <w:rFonts w:ascii="Arial" w:hAnsi="Arial" w:cs="Arial"/>
      <w:szCs w:val="21"/>
    </w:rPr>
  </w:style>
  <w:style w:type="paragraph" w:customStyle="1" w:styleId="115">
    <w:name w:val="p0"/>
    <w:basedOn w:val="1"/>
    <w:link w:val="116"/>
    <w:qFormat/>
    <w:uiPriority w:val="0"/>
    <w:pPr>
      <w:widowControl/>
      <w:spacing w:line="500" w:lineRule="atLeast"/>
      <w:ind w:firstLine="420"/>
    </w:pPr>
    <w:rPr>
      <w:rFonts w:ascii="宋体" w:hAnsi="宋体"/>
      <w:kern w:val="0"/>
      <w:szCs w:val="21"/>
    </w:rPr>
  </w:style>
  <w:style w:type="character" w:customStyle="1" w:styleId="116">
    <w:name w:val="p0 Char Char"/>
    <w:link w:val="115"/>
    <w:qFormat/>
    <w:uiPriority w:val="0"/>
    <w:rPr>
      <w:rFonts w:ascii="宋体" w:hAnsi="宋体" w:eastAsia="宋体" w:cs="Times New Roman"/>
      <w:kern w:val="0"/>
      <w:szCs w:val="21"/>
    </w:rPr>
  </w:style>
  <w:style w:type="paragraph" w:customStyle="1" w:styleId="117">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8">
    <w:name w:val="xl6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9">
    <w:name w:val="Char Char Char Char Char Char Char"/>
    <w:basedOn w:val="1"/>
    <w:qFormat/>
    <w:uiPriority w:val="0"/>
    <w:rPr>
      <w:szCs w:val="21"/>
    </w:rPr>
  </w:style>
  <w:style w:type="paragraph" w:customStyle="1" w:styleId="120">
    <w:name w:val="xl87"/>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21">
    <w:name w:val="font7"/>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122">
    <w:name w:val="付标题"/>
    <w:basedOn w:val="1"/>
    <w:qFormat/>
    <w:uiPriority w:val="0"/>
    <w:pPr>
      <w:adjustRightInd w:val="0"/>
      <w:spacing w:before="360" w:line="360" w:lineRule="auto"/>
      <w:jc w:val="center"/>
    </w:pPr>
    <w:rPr>
      <w:rFonts w:eastAsia="黑体"/>
      <w:kern w:val="0"/>
      <w:sz w:val="48"/>
    </w:rPr>
  </w:style>
  <w:style w:type="paragraph" w:customStyle="1" w:styleId="123">
    <w:name w:val="正文1"/>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24">
    <w:name w:val="Char Char Char Char"/>
    <w:basedOn w:val="1"/>
    <w:qFormat/>
    <w:uiPriority w:val="0"/>
    <w:rPr>
      <w:szCs w:val="21"/>
    </w:rPr>
  </w:style>
  <w:style w:type="paragraph" w:customStyle="1" w:styleId="12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26">
    <w:name w:val="xl7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27">
    <w:name w:val="font8"/>
    <w:basedOn w:val="1"/>
    <w:qFormat/>
    <w:uiPriority w:val="0"/>
    <w:pPr>
      <w:widowControl/>
      <w:spacing w:before="100" w:beforeAutospacing="1" w:after="100" w:afterAutospacing="1"/>
      <w:jc w:val="left"/>
    </w:pPr>
    <w:rPr>
      <w:rFonts w:ascii="Arial" w:hAnsi="Arial" w:cs="Arial"/>
      <w:color w:val="000000"/>
      <w:kern w:val="0"/>
      <w:szCs w:val="21"/>
    </w:rPr>
  </w:style>
  <w:style w:type="paragraph" w:customStyle="1" w:styleId="128">
    <w:name w:val="标题 11"/>
    <w:basedOn w:val="1"/>
    <w:next w:val="1"/>
    <w:unhideWhenUsed/>
    <w:qFormat/>
    <w:uiPriority w:val="0"/>
    <w:pPr>
      <w:keepNext/>
      <w:keepLines/>
      <w:spacing w:afterLines="100" w:line="360" w:lineRule="auto"/>
      <w:jc w:val="center"/>
      <w:outlineLvl w:val="0"/>
    </w:pPr>
    <w:rPr>
      <w:rFonts w:hint="eastAsia" w:ascii="宋体" w:hAnsi="宋体"/>
      <w:b/>
      <w:kern w:val="44"/>
      <w:sz w:val="32"/>
      <w:szCs w:val="20"/>
    </w:rPr>
  </w:style>
  <w:style w:type="paragraph" w:customStyle="1" w:styleId="129">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30">
    <w:name w:val="xl8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1">
    <w:name w:val="p20"/>
    <w:basedOn w:val="1"/>
    <w:qFormat/>
    <w:uiPriority w:val="99"/>
    <w:pPr>
      <w:widowControl/>
      <w:spacing w:after="120"/>
    </w:pPr>
    <w:rPr>
      <w:kern w:val="0"/>
      <w:szCs w:val="21"/>
    </w:rPr>
  </w:style>
  <w:style w:type="paragraph" w:customStyle="1" w:styleId="132">
    <w:name w:val="段"/>
    <w:link w:val="133"/>
    <w:qFormat/>
    <w:uiPriority w:val="0"/>
    <w:pPr>
      <w:widowControl w:val="0"/>
      <w:autoSpaceDE w:val="0"/>
      <w:autoSpaceDN w:val="0"/>
      <w:adjustRightInd w:val="0"/>
      <w:spacing w:line="360" w:lineRule="atLeast"/>
      <w:ind w:firstLine="200" w:firstLineChars="200"/>
      <w:jc w:val="both"/>
    </w:pPr>
    <w:rPr>
      <w:rFonts w:ascii="宋体" w:hAnsi="宋体" w:eastAsia="宋体" w:cs="Times New Roman"/>
      <w:lang w:val="en-US" w:eastAsia="zh-CN" w:bidi="ar-SA"/>
    </w:rPr>
  </w:style>
  <w:style w:type="character" w:customStyle="1" w:styleId="133">
    <w:name w:val="段 Char Char"/>
    <w:link w:val="132"/>
    <w:qFormat/>
    <w:uiPriority w:val="0"/>
    <w:rPr>
      <w:rFonts w:ascii="宋体" w:hAnsi="宋体" w:eastAsia="宋体" w:cs="Times New Roman"/>
      <w:kern w:val="0"/>
      <w:sz w:val="20"/>
      <w:szCs w:val="20"/>
    </w:rPr>
  </w:style>
  <w:style w:type="paragraph" w:customStyle="1" w:styleId="134">
    <w:name w:val="列项——"/>
    <w:qFormat/>
    <w:uiPriority w:val="0"/>
    <w:pPr>
      <w:widowControl w:val="0"/>
      <w:tabs>
        <w:tab w:val="left" w:pos="854"/>
      </w:tabs>
      <w:jc w:val="both"/>
    </w:pPr>
    <w:rPr>
      <w:rFonts w:ascii="宋体" w:hAnsi="Times New Roman" w:eastAsia="宋体" w:cs="宋体"/>
      <w:sz w:val="21"/>
      <w:szCs w:val="21"/>
      <w:lang w:val="en-US" w:eastAsia="zh-CN" w:bidi="ar-SA"/>
    </w:rPr>
  </w:style>
  <w:style w:type="paragraph" w:customStyle="1" w:styleId="135">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6">
    <w:name w:val="纯文本 + (符号) 宋体"/>
    <w:basedOn w:val="115"/>
    <w:link w:val="137"/>
    <w:qFormat/>
    <w:uiPriority w:val="0"/>
    <w:pPr>
      <w:spacing w:line="360" w:lineRule="auto"/>
      <w:ind w:firstLine="480" w:firstLineChars="200"/>
    </w:pPr>
    <w:rPr>
      <w:rFonts w:ascii="Times New Roman"/>
      <w:spacing w:val="20"/>
    </w:rPr>
  </w:style>
  <w:style w:type="character" w:customStyle="1" w:styleId="137">
    <w:name w:val="纯文本 + (符号) 宋体 Char"/>
    <w:link w:val="136"/>
    <w:qFormat/>
    <w:uiPriority w:val="0"/>
    <w:rPr>
      <w:rFonts w:ascii="Times New Roman" w:hAnsi="宋体" w:eastAsia="宋体" w:cs="Times New Roman"/>
      <w:spacing w:val="20"/>
      <w:kern w:val="0"/>
      <w:szCs w:val="21"/>
    </w:rPr>
  </w:style>
  <w:style w:type="paragraph" w:customStyle="1" w:styleId="13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140">
    <w:name w:val="p15"/>
    <w:basedOn w:val="1"/>
    <w:qFormat/>
    <w:uiPriority w:val="0"/>
    <w:pPr>
      <w:widowControl/>
      <w:jc w:val="left"/>
    </w:pPr>
    <w:rPr>
      <w:kern w:val="0"/>
      <w:sz w:val="18"/>
      <w:szCs w:val="18"/>
    </w:rPr>
  </w:style>
  <w:style w:type="paragraph" w:customStyle="1" w:styleId="141">
    <w:name w:val="一级条标题"/>
    <w:next w:val="1"/>
    <w:link w:val="233"/>
    <w:qFormat/>
    <w:uiPriority w:val="0"/>
    <w:pPr>
      <w:tabs>
        <w:tab w:val="left" w:pos="0"/>
      </w:tabs>
      <w:spacing w:beforeLines="50" w:afterLines="50"/>
      <w:ind w:left="992" w:hanging="567"/>
      <w:outlineLvl w:val="2"/>
    </w:pPr>
    <w:rPr>
      <w:rFonts w:ascii="黑体" w:hAnsi="Times New Roman" w:eastAsia="黑体" w:cs="Times New Roman"/>
      <w:sz w:val="21"/>
      <w:szCs w:val="21"/>
      <w:lang w:val="en-US" w:eastAsia="zh-CN" w:bidi="ar-SA"/>
    </w:rPr>
  </w:style>
  <w:style w:type="paragraph" w:customStyle="1" w:styleId="142">
    <w:name w:val="TOC 标题1"/>
    <w:basedOn w:val="128"/>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143">
    <w:name w:val="p16"/>
    <w:basedOn w:val="1"/>
    <w:qFormat/>
    <w:uiPriority w:val="0"/>
    <w:pPr>
      <w:widowControl/>
      <w:pBdr>
        <w:bottom w:val="single" w:color="000000" w:sz="6" w:space="1"/>
      </w:pBdr>
      <w:jc w:val="center"/>
    </w:pPr>
    <w:rPr>
      <w:kern w:val="0"/>
      <w:sz w:val="18"/>
      <w:szCs w:val="18"/>
    </w:rPr>
  </w:style>
  <w:style w:type="paragraph" w:customStyle="1" w:styleId="144">
    <w:name w:val="p18"/>
    <w:basedOn w:val="1"/>
    <w:qFormat/>
    <w:uiPriority w:val="0"/>
    <w:pPr>
      <w:widowControl/>
      <w:jc w:val="left"/>
    </w:pPr>
    <w:rPr>
      <w:kern w:val="0"/>
      <w:sz w:val="18"/>
      <w:szCs w:val="18"/>
    </w:rPr>
  </w:style>
  <w:style w:type="paragraph" w:customStyle="1" w:styleId="145">
    <w:name w:val="正文文本3"/>
    <w:basedOn w:val="1"/>
    <w:link w:val="146"/>
    <w:qFormat/>
    <w:uiPriority w:val="0"/>
    <w:pPr>
      <w:shd w:val="clear" w:color="auto" w:fill="FFFFFF"/>
      <w:spacing w:line="466" w:lineRule="exact"/>
      <w:ind w:hanging="280"/>
      <w:jc w:val="distribute"/>
    </w:pPr>
    <w:rPr>
      <w:rFonts w:ascii="MingLiU" w:hAnsi="MingLiU" w:eastAsia="MingLiU"/>
      <w:kern w:val="0"/>
      <w:sz w:val="22"/>
      <w:szCs w:val="22"/>
      <w:shd w:val="clear" w:color="auto" w:fill="FFFFFF"/>
      <w:lang w:val="zh-TW"/>
    </w:rPr>
  </w:style>
  <w:style w:type="character" w:customStyle="1" w:styleId="146">
    <w:name w:val="正文文本_"/>
    <w:link w:val="145"/>
    <w:qFormat/>
    <w:uiPriority w:val="0"/>
    <w:rPr>
      <w:rFonts w:ascii="MingLiU" w:hAnsi="MingLiU" w:eastAsia="MingLiU" w:cs="Times New Roman"/>
      <w:kern w:val="0"/>
      <w:sz w:val="22"/>
      <w:shd w:val="clear" w:color="auto" w:fill="FFFFFF"/>
      <w:lang w:val="zh-TW"/>
    </w:rPr>
  </w:style>
  <w:style w:type="paragraph" w:customStyle="1" w:styleId="147">
    <w:name w:val="纯文本1"/>
    <w:basedOn w:val="1"/>
    <w:qFormat/>
    <w:uiPriority w:val="0"/>
    <w:rPr>
      <w:rFonts w:ascii="宋体" w:hAnsi="Courier New" w:eastAsia="方正小标宋_GBK"/>
      <w:b/>
      <w:szCs w:val="20"/>
    </w:rPr>
  </w:style>
  <w:style w:type="paragraph" w:customStyle="1" w:styleId="148">
    <w:name w:val="标题3"/>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49">
    <w:name w:val="样式 段落 + 首行缩进:  2 字符"/>
    <w:basedOn w:val="1"/>
    <w:qFormat/>
    <w:uiPriority w:val="0"/>
    <w:pPr>
      <w:adjustRightInd w:val="0"/>
      <w:ind w:firstLine="200" w:firstLineChars="200"/>
      <w:textAlignment w:val="baseline"/>
    </w:pPr>
    <w:rPr>
      <w:rFonts w:eastAsia="华文细黑" w:cs="宋体"/>
      <w:kern w:val="0"/>
      <w:sz w:val="28"/>
      <w:szCs w:val="20"/>
    </w:rPr>
  </w:style>
  <w:style w:type="paragraph" w:customStyle="1" w:styleId="150">
    <w:name w:val="正文文本缩进 31"/>
    <w:basedOn w:val="1"/>
    <w:qFormat/>
    <w:uiPriority w:val="0"/>
    <w:pPr>
      <w:spacing w:line="500" w:lineRule="exact"/>
      <w:ind w:firstLine="723" w:firstLineChars="240"/>
    </w:pPr>
    <w:rPr>
      <w:rFonts w:ascii="楷体_GB2312" w:eastAsia="楷体_GB2312"/>
      <w:b/>
      <w:color w:val="FF0000"/>
      <w:kern w:val="0"/>
      <w:sz w:val="30"/>
      <w:szCs w:val="20"/>
    </w:rPr>
  </w:style>
  <w:style w:type="paragraph" w:customStyle="1" w:styleId="151">
    <w:name w:val="正文2"/>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52">
    <w:name w:val="实施日期"/>
    <w:basedOn w:val="153"/>
    <w:qFormat/>
    <w:uiPriority w:val="0"/>
    <w:pPr>
      <w:jc w:val="right"/>
    </w:pPr>
  </w:style>
  <w:style w:type="paragraph" w:customStyle="1" w:styleId="153">
    <w:name w:val="发布日期"/>
    <w:qFormat/>
    <w:uiPriority w:val="0"/>
    <w:rPr>
      <w:rFonts w:ascii="Times New Roman" w:hAnsi="Times New Roman" w:eastAsia="黑体" w:cs="Times New Roman"/>
      <w:sz w:val="28"/>
      <w:lang w:val="en-US" w:eastAsia="zh-CN" w:bidi="ar-SA"/>
    </w:rPr>
  </w:style>
  <w:style w:type="paragraph" w:customStyle="1" w:styleId="154">
    <w:name w:val="Char1"/>
    <w:basedOn w:val="1"/>
    <w:qFormat/>
    <w:uiPriority w:val="0"/>
    <w:rPr>
      <w:szCs w:val="20"/>
    </w:rPr>
  </w:style>
  <w:style w:type="paragraph" w:customStyle="1" w:styleId="155">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56">
    <w:name w:val="xl7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57">
    <w:name w:val="Char3 Char Char Char"/>
    <w:basedOn w:val="1"/>
    <w:qFormat/>
    <w:uiPriority w:val="0"/>
    <w:rPr>
      <w:sz w:val="28"/>
    </w:rPr>
  </w:style>
  <w:style w:type="paragraph" w:customStyle="1" w:styleId="158">
    <w:name w:val="正文文本缩进1"/>
    <w:basedOn w:val="1"/>
    <w:qFormat/>
    <w:uiPriority w:val="0"/>
    <w:pPr>
      <w:spacing w:line="500" w:lineRule="exact"/>
      <w:ind w:firstLine="720" w:firstLineChars="240"/>
    </w:pPr>
    <w:rPr>
      <w:rFonts w:eastAsia="楷体_GB2312"/>
      <w:kern w:val="0"/>
      <w:sz w:val="30"/>
      <w:szCs w:val="20"/>
    </w:rPr>
  </w:style>
  <w:style w:type="paragraph" w:customStyle="1" w:styleId="159">
    <w:name w:val="p19"/>
    <w:basedOn w:val="1"/>
    <w:qFormat/>
    <w:uiPriority w:val="0"/>
    <w:pPr>
      <w:widowControl/>
      <w:spacing w:after="120"/>
    </w:pPr>
    <w:rPr>
      <w:kern w:val="0"/>
      <w:szCs w:val="21"/>
    </w:rPr>
  </w:style>
  <w:style w:type="paragraph" w:customStyle="1" w:styleId="16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61">
    <w:name w:val="xl7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62">
    <w:name w:val="xl79"/>
    <w:basedOn w:val="1"/>
    <w:qFormat/>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63">
    <w:name w:val="xl84"/>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64">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
    <w:name w:val="font6"/>
    <w:basedOn w:val="1"/>
    <w:qFormat/>
    <w:uiPriority w:val="0"/>
    <w:pPr>
      <w:widowControl/>
      <w:spacing w:before="100" w:beforeAutospacing="1" w:after="100" w:afterAutospacing="1"/>
      <w:jc w:val="left"/>
    </w:pPr>
    <w:rPr>
      <w:color w:val="000000"/>
      <w:kern w:val="0"/>
      <w:szCs w:val="21"/>
    </w:rPr>
  </w:style>
  <w:style w:type="paragraph" w:customStyle="1" w:styleId="166">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7">
    <w:name w:val="reader-word-layer reader-word-s1-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8">
    <w:name w:val="xl86"/>
    <w:basedOn w:val="1"/>
    <w:qFormat/>
    <w:uiPriority w:val="0"/>
    <w:pPr>
      <w:widowControl/>
      <w:pBdr>
        <w:bottom w:val="single" w:color="auto" w:sz="8" w:space="0"/>
      </w:pBdr>
      <w:spacing w:before="100" w:beforeAutospacing="1" w:after="100" w:afterAutospacing="1"/>
      <w:jc w:val="center"/>
    </w:pPr>
    <w:rPr>
      <w:rFonts w:ascii="宋体" w:hAnsi="宋体" w:cs="宋体"/>
      <w:kern w:val="0"/>
      <w:sz w:val="24"/>
    </w:rPr>
  </w:style>
  <w:style w:type="paragraph" w:customStyle="1" w:styleId="169">
    <w:name w:val="xl6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70">
    <w:name w:val="xl7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 w:val="20"/>
      <w:szCs w:val="20"/>
    </w:rPr>
  </w:style>
  <w:style w:type="paragraph" w:customStyle="1" w:styleId="171">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2">
    <w:name w:val="xl7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color w:val="000000"/>
      <w:kern w:val="0"/>
      <w:sz w:val="18"/>
      <w:szCs w:val="18"/>
    </w:rPr>
  </w:style>
  <w:style w:type="paragraph" w:customStyle="1" w:styleId="173">
    <w:name w:val="xl8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4">
    <w:name w:val="xl8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5">
    <w:name w:val="正文3"/>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76">
    <w:name w:val="xl6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77">
    <w:name w:val="段落"/>
    <w:basedOn w:val="1"/>
    <w:link w:val="178"/>
    <w:qFormat/>
    <w:uiPriority w:val="0"/>
    <w:pPr>
      <w:adjustRightInd w:val="0"/>
      <w:spacing w:line="360" w:lineRule="auto"/>
      <w:ind w:firstLine="567"/>
      <w:textAlignment w:val="baseline"/>
    </w:pPr>
    <w:rPr>
      <w:rFonts w:eastAsia="仿宋_GB2312"/>
      <w:sz w:val="28"/>
      <w:szCs w:val="20"/>
    </w:rPr>
  </w:style>
  <w:style w:type="character" w:customStyle="1" w:styleId="178">
    <w:name w:val="段落 Char Char"/>
    <w:link w:val="177"/>
    <w:qFormat/>
    <w:uiPriority w:val="0"/>
    <w:rPr>
      <w:rFonts w:ascii="Times New Roman" w:hAnsi="Times New Roman" w:eastAsia="仿宋_GB2312" w:cs="Times New Roman"/>
      <w:sz w:val="28"/>
      <w:szCs w:val="20"/>
    </w:rPr>
  </w:style>
  <w:style w:type="paragraph" w:customStyle="1" w:styleId="179">
    <w:name w:val="页脚2"/>
    <w:basedOn w:val="1"/>
    <w:qFormat/>
    <w:uiPriority w:val="0"/>
    <w:pPr>
      <w:tabs>
        <w:tab w:val="center" w:pos="4153"/>
        <w:tab w:val="right" w:pos="8306"/>
      </w:tabs>
      <w:snapToGrid w:val="0"/>
      <w:jc w:val="left"/>
    </w:pPr>
    <w:rPr>
      <w:sz w:val="18"/>
      <w:szCs w:val="20"/>
    </w:rPr>
  </w:style>
  <w:style w:type="paragraph" w:customStyle="1" w:styleId="180">
    <w:name w:val="批注框文本2"/>
    <w:basedOn w:val="1"/>
    <w:qFormat/>
    <w:uiPriority w:val="0"/>
    <w:rPr>
      <w:rFonts w:ascii="方正小标宋_GBK" w:hAnsi="宋体" w:eastAsia="方正小标宋_GBK"/>
      <w:b/>
      <w:sz w:val="18"/>
      <w:szCs w:val="20"/>
    </w:rPr>
  </w:style>
  <w:style w:type="paragraph" w:customStyle="1" w:styleId="181">
    <w:name w:val="日期2"/>
    <w:basedOn w:val="1"/>
    <w:next w:val="1"/>
    <w:qFormat/>
    <w:uiPriority w:val="0"/>
    <w:pPr>
      <w:ind w:left="100" w:leftChars="2500"/>
    </w:pPr>
    <w:rPr>
      <w:rFonts w:ascii="方正小标宋_GBK" w:hAnsi="宋体" w:eastAsia="方正小标宋_GBK"/>
      <w:b/>
      <w:spacing w:val="20"/>
      <w:szCs w:val="20"/>
    </w:rPr>
  </w:style>
  <w:style w:type="paragraph" w:customStyle="1" w:styleId="182">
    <w:name w:val="页眉2"/>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83">
    <w:name w:val="列出段落2"/>
    <w:basedOn w:val="1"/>
    <w:qFormat/>
    <w:uiPriority w:val="0"/>
    <w:pPr>
      <w:spacing w:line="360" w:lineRule="auto"/>
      <w:ind w:firstLine="420" w:firstLineChars="200"/>
    </w:pPr>
    <w:rPr>
      <w:rFonts w:ascii="Arial" w:hAnsi="Arial" w:cs="Arial"/>
      <w:szCs w:val="21"/>
    </w:rPr>
  </w:style>
  <w:style w:type="paragraph" w:customStyle="1" w:styleId="184">
    <w:name w:val="纯文本2"/>
    <w:basedOn w:val="1"/>
    <w:qFormat/>
    <w:uiPriority w:val="0"/>
    <w:rPr>
      <w:rFonts w:ascii="宋体" w:hAnsi="Courier New" w:eastAsia="方正小标宋_GBK"/>
      <w:b/>
      <w:szCs w:val="20"/>
    </w:rPr>
  </w:style>
  <w:style w:type="paragraph" w:customStyle="1" w:styleId="185">
    <w:name w:val="标题4"/>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86">
    <w:name w:val="正文4"/>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character" w:customStyle="1" w:styleId="187">
    <w:name w:val="纯文本 Char1"/>
    <w:qFormat/>
    <w:uiPriority w:val="0"/>
    <w:rPr>
      <w:rFonts w:hint="eastAsia" w:ascii="宋体" w:hAnsi="Courier New" w:eastAsia="宋体"/>
      <w:sz w:val="21"/>
    </w:rPr>
  </w:style>
  <w:style w:type="character" w:customStyle="1" w:styleId="188">
    <w:name w:val="访问过的超链接1"/>
    <w:qFormat/>
    <w:uiPriority w:val="0"/>
    <w:rPr>
      <w:color w:val="800080"/>
      <w:u w:val="single"/>
    </w:rPr>
  </w:style>
  <w:style w:type="character" w:customStyle="1" w:styleId="189">
    <w:name w:val="正文文本缩进 3 Char1"/>
    <w:qFormat/>
    <w:uiPriority w:val="0"/>
    <w:rPr>
      <w:rFonts w:hint="eastAsia" w:ascii="宋体" w:hAnsi="宋体" w:eastAsia="宋体" w:cs="Times New Roman"/>
      <w:sz w:val="16"/>
      <w:szCs w:val="16"/>
    </w:rPr>
  </w:style>
  <w:style w:type="character" w:customStyle="1" w:styleId="190">
    <w:name w:val="文档结构图 Char1"/>
    <w:qFormat/>
    <w:uiPriority w:val="0"/>
    <w:rPr>
      <w:rFonts w:hint="eastAsia" w:ascii="宋体" w:hAnsi="宋体" w:eastAsia="宋体" w:cs="Times New Roman"/>
      <w:sz w:val="18"/>
      <w:szCs w:val="18"/>
    </w:rPr>
  </w:style>
  <w:style w:type="character" w:customStyle="1" w:styleId="191">
    <w:name w:val="A0"/>
    <w:qFormat/>
    <w:uiPriority w:val="0"/>
    <w:rPr>
      <w:rFonts w:cs=".."/>
      <w:color w:val="000000"/>
      <w:sz w:val="22"/>
      <w:szCs w:val="22"/>
    </w:rPr>
  </w:style>
  <w:style w:type="character" w:customStyle="1" w:styleId="192">
    <w:name w:val="标题 Char1"/>
    <w:qFormat/>
    <w:uiPriority w:val="0"/>
    <w:rPr>
      <w:rFonts w:ascii="Calibri Light" w:hAnsi="Calibri Light" w:cs="Times New Roman"/>
      <w:b/>
      <w:bCs/>
      <w:kern w:val="2"/>
      <w:sz w:val="32"/>
      <w:szCs w:val="32"/>
    </w:rPr>
  </w:style>
  <w:style w:type="character" w:customStyle="1" w:styleId="193">
    <w:name w:val="Footer Char"/>
    <w:qFormat/>
    <w:uiPriority w:val="0"/>
    <w:rPr>
      <w:sz w:val="18"/>
    </w:rPr>
  </w:style>
  <w:style w:type="character" w:customStyle="1" w:styleId="194">
    <w:name w:val="正文文本缩进 2 Char1"/>
    <w:qFormat/>
    <w:uiPriority w:val="0"/>
    <w:rPr>
      <w:rFonts w:hint="eastAsia" w:ascii="宋体" w:hAnsi="宋体" w:eastAsia="宋体"/>
      <w:kern w:val="2"/>
      <w:sz w:val="21"/>
      <w:szCs w:val="22"/>
    </w:rPr>
  </w:style>
  <w:style w:type="character" w:customStyle="1" w:styleId="195">
    <w:name w:val="日期 Char1"/>
    <w:qFormat/>
    <w:uiPriority w:val="0"/>
    <w:rPr>
      <w:rFonts w:hint="eastAsia" w:ascii="宋体" w:hAnsi="宋体" w:eastAsia="宋体" w:cs="Times New Roman"/>
    </w:rPr>
  </w:style>
  <w:style w:type="character" w:customStyle="1" w:styleId="196">
    <w:name w:val="font01"/>
    <w:qFormat/>
    <w:uiPriority w:val="0"/>
    <w:rPr>
      <w:rFonts w:hint="eastAsia" w:ascii="宋体" w:hAnsi="宋体" w:eastAsia="宋体"/>
      <w:color w:val="000000"/>
      <w:sz w:val="24"/>
      <w:szCs w:val="24"/>
      <w:u w:val="none"/>
    </w:rPr>
  </w:style>
  <w:style w:type="character" w:customStyle="1" w:styleId="197">
    <w:name w:val="页眉 Char1"/>
    <w:qFormat/>
    <w:uiPriority w:val="0"/>
    <w:rPr>
      <w:rFonts w:hint="eastAsia" w:ascii="宋体" w:hAnsi="宋体" w:eastAsia="宋体" w:cs="Times New Roman"/>
      <w:sz w:val="18"/>
      <w:szCs w:val="18"/>
    </w:rPr>
  </w:style>
  <w:style w:type="character" w:customStyle="1" w:styleId="198">
    <w:name w:val="表格题注 Char Char"/>
    <w:qFormat/>
    <w:uiPriority w:val="0"/>
    <w:rPr>
      <w:rFonts w:hint="default" w:ascii="Arial" w:hAnsi="Arial" w:cs="Times New Roman"/>
      <w:b/>
      <w:bCs/>
      <w:szCs w:val="32"/>
    </w:rPr>
  </w:style>
  <w:style w:type="character" w:customStyle="1" w:styleId="199">
    <w:name w:val="Body Text Indent Char"/>
    <w:qFormat/>
    <w:uiPriority w:val="0"/>
    <w:rPr>
      <w:rFonts w:ascii="宋体"/>
      <w:sz w:val="24"/>
    </w:rPr>
  </w:style>
  <w:style w:type="character" w:customStyle="1" w:styleId="200">
    <w:name w:val="发布"/>
    <w:qFormat/>
    <w:uiPriority w:val="0"/>
    <w:rPr>
      <w:rFonts w:ascii="黑体" w:eastAsia="黑体"/>
      <w:spacing w:val="22"/>
      <w:w w:val="100"/>
      <w:position w:val="3"/>
      <w:sz w:val="28"/>
    </w:rPr>
  </w:style>
  <w:style w:type="character" w:customStyle="1" w:styleId="201">
    <w:name w:val="纯文本 Char2"/>
    <w:qFormat/>
    <w:uiPriority w:val="0"/>
    <w:rPr>
      <w:rFonts w:ascii="宋体" w:hAnsi="Courier New" w:cs="Courier New"/>
      <w:kern w:val="2"/>
      <w:sz w:val="21"/>
      <w:szCs w:val="21"/>
    </w:rPr>
  </w:style>
  <w:style w:type="character" w:customStyle="1" w:styleId="202">
    <w:name w:val="页脚 Char1"/>
    <w:qFormat/>
    <w:uiPriority w:val="0"/>
    <w:rPr>
      <w:rFonts w:hint="eastAsia" w:ascii="宋体" w:hAnsi="宋体" w:eastAsia="宋体" w:cs="Times New Roman"/>
      <w:sz w:val="18"/>
      <w:szCs w:val="18"/>
    </w:rPr>
  </w:style>
  <w:style w:type="character" w:customStyle="1" w:styleId="203">
    <w:name w:val="正文文本缩进 Char1"/>
    <w:qFormat/>
    <w:uiPriority w:val="0"/>
    <w:rPr>
      <w:rFonts w:hint="eastAsia" w:ascii="宋体" w:hAnsi="宋体" w:eastAsia="宋体"/>
      <w:kern w:val="2"/>
      <w:sz w:val="21"/>
      <w:szCs w:val="22"/>
    </w:rPr>
  </w:style>
  <w:style w:type="character" w:customStyle="1" w:styleId="204">
    <w:name w:val="批注框文本 Char1"/>
    <w:qFormat/>
    <w:uiPriority w:val="0"/>
    <w:rPr>
      <w:rFonts w:hint="eastAsia" w:ascii="宋体" w:hAnsi="宋体" w:eastAsia="宋体" w:cs="Times New Roman"/>
      <w:sz w:val="18"/>
      <w:szCs w:val="18"/>
    </w:rPr>
  </w:style>
  <w:style w:type="character" w:customStyle="1" w:styleId="205">
    <w:name w:val="表格文字 Char Char"/>
    <w:qFormat/>
    <w:uiPriority w:val="0"/>
    <w:rPr>
      <w:rFonts w:hint="eastAsia" w:ascii="汉仪书宋二简" w:hAnsi="宋体" w:eastAsia="汉仪书宋二简" w:cs="Times New Roman"/>
      <w:sz w:val="18"/>
      <w:szCs w:val="18"/>
    </w:rPr>
  </w:style>
  <w:style w:type="character" w:customStyle="1" w:styleId="206">
    <w:name w:val="占位符文本1"/>
    <w:qFormat/>
    <w:uiPriority w:val="0"/>
    <w:rPr>
      <w:color w:val="808080"/>
    </w:rPr>
  </w:style>
  <w:style w:type="character" w:customStyle="1" w:styleId="207">
    <w:name w:val="ask-title"/>
    <w:qFormat/>
    <w:uiPriority w:val="0"/>
  </w:style>
  <w:style w:type="character" w:customStyle="1" w:styleId="208">
    <w:name w:val="批注框文本 Char Char Char Char"/>
    <w:qFormat/>
    <w:locked/>
    <w:uiPriority w:val="0"/>
    <w:rPr>
      <w:rFonts w:ascii="Arial" w:hAnsi="Arial" w:cs="Arial"/>
      <w:kern w:val="2"/>
      <w:sz w:val="18"/>
      <w:szCs w:val="18"/>
    </w:rPr>
  </w:style>
  <w:style w:type="character" w:customStyle="1" w:styleId="209">
    <w:name w:val="段 Char"/>
    <w:qFormat/>
    <w:locked/>
    <w:uiPriority w:val="0"/>
    <w:rPr>
      <w:rFonts w:ascii="宋体" w:hAnsi="宋体"/>
      <w:lang w:val="en-US" w:eastAsia="zh-CN" w:bidi="ar-SA"/>
    </w:rPr>
  </w:style>
  <w:style w:type="character" w:customStyle="1" w:styleId="210">
    <w:name w:val="表名 Char"/>
    <w:qFormat/>
    <w:uiPriority w:val="0"/>
    <w:rPr>
      <w:rFonts w:ascii="黑体" w:hAnsi="黑体" w:eastAsia="黑体"/>
      <w:b/>
      <w:kern w:val="2"/>
      <w:sz w:val="21"/>
      <w:szCs w:val="24"/>
    </w:rPr>
  </w:style>
  <w:style w:type="character" w:customStyle="1" w:styleId="211">
    <w:name w:val="段落 Char"/>
    <w:qFormat/>
    <w:uiPriority w:val="0"/>
    <w:rPr>
      <w:rFonts w:eastAsia="仿宋_GB2312"/>
      <w:sz w:val="28"/>
    </w:rPr>
  </w:style>
  <w:style w:type="character" w:customStyle="1" w:styleId="212">
    <w:name w:val="标题 1 Char1"/>
    <w:qFormat/>
    <w:uiPriority w:val="0"/>
    <w:rPr>
      <w:b/>
      <w:bCs/>
      <w:kern w:val="44"/>
      <w:sz w:val="44"/>
      <w:szCs w:val="44"/>
    </w:rPr>
  </w:style>
  <w:style w:type="character" w:customStyle="1" w:styleId="213">
    <w:name w:val="批注框文本 Char2"/>
    <w:qFormat/>
    <w:locked/>
    <w:uiPriority w:val="99"/>
    <w:rPr>
      <w:rFonts w:ascii="Arial" w:hAnsi="Arial" w:cs="Arial"/>
      <w:kern w:val="2"/>
      <w:sz w:val="18"/>
      <w:szCs w:val="18"/>
    </w:rPr>
  </w:style>
  <w:style w:type="character" w:customStyle="1" w:styleId="214">
    <w:name w:val="标题 Char2"/>
    <w:qFormat/>
    <w:locked/>
    <w:uiPriority w:val="10"/>
    <w:rPr>
      <w:rFonts w:ascii="宋体" w:hAnsi="宋体" w:eastAsia="宋体" w:cs="Times New Roman"/>
      <w:bCs/>
      <w:kern w:val="0"/>
      <w:szCs w:val="32"/>
    </w:rPr>
  </w:style>
  <w:style w:type="character" w:customStyle="1" w:styleId="215">
    <w:name w:val="Char Char6"/>
    <w:qFormat/>
    <w:uiPriority w:val="0"/>
    <w:rPr>
      <w:rFonts w:ascii="Arial" w:hAnsi="Arial"/>
      <w:kern w:val="2"/>
      <w:sz w:val="18"/>
    </w:rPr>
  </w:style>
  <w:style w:type="character" w:customStyle="1" w:styleId="216">
    <w:name w:val="font21"/>
    <w:qFormat/>
    <w:uiPriority w:val="0"/>
    <w:rPr>
      <w:rFonts w:hint="default" w:ascii="Times New Roman" w:hAnsi="Times New Roman" w:cs="Times New Roman"/>
      <w:b/>
      <w:bCs/>
      <w:color w:val="000000"/>
      <w:sz w:val="18"/>
      <w:szCs w:val="18"/>
      <w:u w:val="none"/>
    </w:rPr>
  </w:style>
  <w:style w:type="character" w:customStyle="1" w:styleId="217">
    <w:name w:val="font31"/>
    <w:qFormat/>
    <w:uiPriority w:val="0"/>
    <w:rPr>
      <w:rFonts w:hint="default" w:ascii="Times New Roman" w:hAnsi="Times New Roman" w:cs="Times New Roman"/>
      <w:color w:val="000000"/>
      <w:sz w:val="18"/>
      <w:szCs w:val="18"/>
      <w:u w:val="none"/>
    </w:rPr>
  </w:style>
  <w:style w:type="character" w:customStyle="1" w:styleId="218">
    <w:name w:val="font41"/>
    <w:qFormat/>
    <w:uiPriority w:val="0"/>
    <w:rPr>
      <w:rFonts w:hint="eastAsia" w:ascii="宋体" w:hAnsi="宋体" w:eastAsia="宋体"/>
      <w:color w:val="000000"/>
      <w:sz w:val="18"/>
      <w:szCs w:val="18"/>
      <w:u w:val="none"/>
    </w:rPr>
  </w:style>
  <w:style w:type="character" w:customStyle="1" w:styleId="219">
    <w:name w:val="Char Char61"/>
    <w:unhideWhenUsed/>
    <w:qFormat/>
    <w:uiPriority w:val="0"/>
    <w:rPr>
      <w:rFonts w:hint="default" w:ascii="Arial"/>
      <w:kern w:val="2"/>
      <w:sz w:val="18"/>
    </w:rPr>
  </w:style>
  <w:style w:type="character" w:customStyle="1" w:styleId="220">
    <w:name w:val="标题 1 Char2"/>
    <w:qFormat/>
    <w:locked/>
    <w:uiPriority w:val="0"/>
    <w:rPr>
      <w:rFonts w:ascii="宋体" w:hAnsi="宋体"/>
      <w:b/>
      <w:bCs/>
      <w:kern w:val="44"/>
      <w:sz w:val="32"/>
      <w:szCs w:val="44"/>
    </w:rPr>
  </w:style>
  <w:style w:type="paragraph" w:customStyle="1" w:styleId="221">
    <w:name w:val="样式"/>
    <w:next w:v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22">
    <w:name w:val="标题 Char21"/>
    <w:qFormat/>
    <w:uiPriority w:val="0"/>
    <w:rPr>
      <w:rFonts w:ascii="Calibri Light"/>
      <w:b/>
      <w:kern w:val="2"/>
      <w:sz w:val="32"/>
    </w:rPr>
  </w:style>
  <w:style w:type="paragraph" w:customStyle="1" w:styleId="223">
    <w:name w:val="TOC 标题2"/>
    <w:basedOn w:val="2"/>
    <w:next w:val="1"/>
    <w:unhideWhenUsed/>
    <w:qFormat/>
    <w:uiPriority w:val="39"/>
    <w:pPr>
      <w:keepLines/>
      <w:spacing w:before="340" w:after="330" w:line="578" w:lineRule="auto"/>
      <w:jc w:val="both"/>
      <w:outlineLvl w:val="9"/>
    </w:pPr>
    <w:rPr>
      <w:kern w:val="44"/>
      <w:sz w:val="44"/>
      <w:szCs w:val="44"/>
    </w:rPr>
  </w:style>
  <w:style w:type="character" w:customStyle="1" w:styleId="224">
    <w:name w:val="标题 2 Char1"/>
    <w:basedOn w:val="40"/>
    <w:semiHidden/>
    <w:qFormat/>
    <w:uiPriority w:val="0"/>
    <w:rPr>
      <w:rFonts w:hint="default" w:asciiTheme="majorHAnsi" w:hAnsiTheme="majorHAnsi" w:eastAsiaTheme="majorEastAsia" w:cstheme="majorBidi"/>
      <w:b/>
      <w:bCs/>
      <w:kern w:val="2"/>
      <w:sz w:val="32"/>
      <w:szCs w:val="32"/>
    </w:rPr>
  </w:style>
  <w:style w:type="character" w:customStyle="1" w:styleId="225">
    <w:name w:val="标题 3 Char1"/>
    <w:basedOn w:val="40"/>
    <w:semiHidden/>
    <w:qFormat/>
    <w:uiPriority w:val="9"/>
    <w:rPr>
      <w:rFonts w:hint="eastAsia" w:ascii="宋体" w:hAnsi="宋体" w:eastAsia="宋体" w:cs="Times New Roman"/>
      <w:b/>
      <w:bCs/>
      <w:kern w:val="2"/>
      <w:sz w:val="32"/>
      <w:szCs w:val="32"/>
    </w:rPr>
  </w:style>
  <w:style w:type="character" w:customStyle="1" w:styleId="226">
    <w:name w:val="标题 4 Char1"/>
    <w:basedOn w:val="40"/>
    <w:semiHidden/>
    <w:qFormat/>
    <w:uiPriority w:val="0"/>
    <w:rPr>
      <w:rFonts w:hint="default" w:asciiTheme="majorHAnsi" w:hAnsiTheme="majorHAnsi" w:eastAsiaTheme="majorEastAsia" w:cstheme="majorBidi"/>
      <w:b/>
      <w:bCs/>
      <w:kern w:val="2"/>
      <w:sz w:val="28"/>
      <w:szCs w:val="28"/>
    </w:rPr>
  </w:style>
  <w:style w:type="character" w:customStyle="1" w:styleId="227">
    <w:name w:val="标题 5 Char1"/>
    <w:basedOn w:val="40"/>
    <w:semiHidden/>
    <w:qFormat/>
    <w:uiPriority w:val="0"/>
    <w:rPr>
      <w:rFonts w:hint="eastAsia" w:ascii="宋体" w:hAnsi="宋体" w:eastAsia="宋体" w:cs="Times New Roman"/>
      <w:b/>
      <w:bCs/>
      <w:kern w:val="2"/>
      <w:sz w:val="28"/>
      <w:szCs w:val="28"/>
    </w:rPr>
  </w:style>
  <w:style w:type="character" w:customStyle="1" w:styleId="228">
    <w:name w:val="标题 6 Char1"/>
    <w:basedOn w:val="40"/>
    <w:semiHidden/>
    <w:qFormat/>
    <w:uiPriority w:val="0"/>
    <w:rPr>
      <w:rFonts w:hint="default" w:asciiTheme="majorHAnsi" w:hAnsiTheme="majorHAnsi" w:eastAsiaTheme="majorEastAsia" w:cstheme="majorBidi"/>
      <w:b/>
      <w:bCs/>
      <w:kern w:val="2"/>
      <w:sz w:val="24"/>
      <w:szCs w:val="24"/>
    </w:rPr>
  </w:style>
  <w:style w:type="character" w:customStyle="1" w:styleId="229">
    <w:name w:val="标题 7 Char1"/>
    <w:basedOn w:val="40"/>
    <w:semiHidden/>
    <w:qFormat/>
    <w:uiPriority w:val="0"/>
    <w:rPr>
      <w:rFonts w:hint="eastAsia" w:ascii="宋体" w:hAnsi="宋体" w:eastAsia="宋体" w:cs="Times New Roman"/>
      <w:b/>
      <w:bCs/>
      <w:kern w:val="2"/>
      <w:sz w:val="24"/>
      <w:szCs w:val="24"/>
    </w:rPr>
  </w:style>
  <w:style w:type="character" w:customStyle="1" w:styleId="230">
    <w:name w:val="标题 8 Char1"/>
    <w:basedOn w:val="40"/>
    <w:semiHidden/>
    <w:qFormat/>
    <w:uiPriority w:val="0"/>
    <w:rPr>
      <w:rFonts w:hint="default" w:asciiTheme="majorHAnsi" w:hAnsiTheme="majorHAnsi" w:eastAsiaTheme="majorEastAsia" w:cstheme="majorBidi"/>
      <w:kern w:val="2"/>
      <w:sz w:val="24"/>
      <w:szCs w:val="24"/>
    </w:rPr>
  </w:style>
  <w:style w:type="character" w:customStyle="1" w:styleId="231">
    <w:name w:val="标题 9 Char1"/>
    <w:basedOn w:val="40"/>
    <w:semiHidden/>
    <w:qFormat/>
    <w:uiPriority w:val="0"/>
    <w:rPr>
      <w:rFonts w:hint="default" w:asciiTheme="majorHAnsi" w:hAnsiTheme="majorHAnsi" w:eastAsiaTheme="majorEastAsia" w:cstheme="majorBidi"/>
      <w:kern w:val="2"/>
      <w:sz w:val="21"/>
      <w:szCs w:val="21"/>
    </w:rPr>
  </w:style>
  <w:style w:type="character" w:customStyle="1" w:styleId="232">
    <w:name w:val="样式1 Char Char"/>
    <w:link w:val="61"/>
    <w:qFormat/>
    <w:locked/>
    <w:uiPriority w:val="0"/>
    <w:rPr>
      <w:rFonts w:ascii="EU-F1" w:hAnsi="Times New Roman" w:eastAsia="黑体" w:cs="Times New Roman"/>
      <w:szCs w:val="21"/>
    </w:rPr>
  </w:style>
  <w:style w:type="character" w:customStyle="1" w:styleId="233">
    <w:name w:val="一级条标题 Char Char"/>
    <w:link w:val="141"/>
    <w:qFormat/>
    <w:locked/>
    <w:uiPriority w:val="0"/>
    <w:rPr>
      <w:rFonts w:ascii="黑体" w:hAnsi="Times New Roman" w:eastAsia="黑体" w:cs="Times New Roman"/>
      <w:kern w:val="0"/>
      <w:szCs w:val="21"/>
    </w:rPr>
  </w:style>
  <w:style w:type="paragraph" w:customStyle="1" w:styleId="234">
    <w:name w:val="表头A"/>
    <w:basedOn w:val="62"/>
    <w:qFormat/>
    <w:uiPriority w:val="0"/>
    <w:rPr>
      <w:kern w:val="21"/>
      <w:sz w:val="20"/>
    </w:rPr>
  </w:style>
  <w:style w:type="paragraph" w:customStyle="1" w:styleId="235">
    <w:name w:val="二级条标题"/>
    <w:basedOn w:val="141"/>
    <w:next w:val="132"/>
    <w:qFormat/>
    <w:uiPriority w:val="0"/>
    <w:pPr>
      <w:tabs>
        <w:tab w:val="clear" w:pos="0"/>
      </w:tabs>
      <w:spacing w:beforeLines="0" w:afterLines="0"/>
      <w:ind w:left="1260" w:hanging="420"/>
      <w:outlineLvl w:val="3"/>
    </w:pPr>
    <w:rPr>
      <w:rFonts w:hint="eastAsia"/>
    </w:rPr>
  </w:style>
  <w:style w:type="paragraph" w:customStyle="1" w:styleId="236">
    <w:name w:val="章标题"/>
    <w:next w:val="132"/>
    <w:qFormat/>
    <w:uiPriority w:val="0"/>
    <w:pPr>
      <w:spacing w:beforeLines="100"/>
      <w:ind w:left="420" w:hanging="420"/>
      <w:jc w:val="both"/>
      <w:outlineLvl w:val="1"/>
    </w:pPr>
    <w:rPr>
      <w:rFonts w:ascii="黑体" w:hAnsi="Times New Roman" w:eastAsia="黑体" w:cs="Times New Roman"/>
      <w:sz w:val="21"/>
      <w:lang w:val="en-US" w:eastAsia="zh-CN" w:bidi="ar-SA"/>
    </w:rPr>
  </w:style>
  <w:style w:type="paragraph" w:customStyle="1" w:styleId="237">
    <w:name w:val="三级条标题"/>
    <w:basedOn w:val="235"/>
    <w:next w:val="132"/>
    <w:qFormat/>
    <w:uiPriority w:val="0"/>
    <w:pPr>
      <w:ind w:left="1680"/>
      <w:outlineLvl w:val="4"/>
    </w:pPr>
  </w:style>
  <w:style w:type="paragraph" w:customStyle="1" w:styleId="238">
    <w:name w:val="列表段落1"/>
    <w:basedOn w:val="1"/>
    <w:qFormat/>
    <w:uiPriority w:val="34"/>
    <w:pPr>
      <w:ind w:firstLine="420" w:firstLineChars="200"/>
    </w:pPr>
  </w:style>
  <w:style w:type="paragraph" w:customStyle="1" w:styleId="239">
    <w:name w:val="列出段落3"/>
    <w:basedOn w:val="1"/>
    <w:qFormat/>
    <w:uiPriority w:val="34"/>
    <w:pPr>
      <w:ind w:firstLine="420" w:firstLineChars="200"/>
    </w:pPr>
  </w:style>
  <w:style w:type="paragraph" w:styleId="240">
    <w:name w:val="List Paragraph"/>
    <w:basedOn w:val="1"/>
    <w:qFormat/>
    <w:uiPriority w:val="99"/>
    <w:pPr>
      <w:ind w:firstLine="420" w:firstLineChars="200"/>
    </w:pPr>
  </w:style>
  <w:style w:type="character" w:customStyle="1" w:styleId="241">
    <w:name w:val="fontstyle01"/>
    <w:basedOn w:val="40"/>
    <w:qFormat/>
    <w:uiPriority w:val="0"/>
    <w:rPr>
      <w:rFonts w:hint="eastAsia" w:ascii="宋体" w:hAnsi="宋体" w:eastAsia="宋体"/>
      <w:color w:val="000000"/>
      <w:sz w:val="22"/>
      <w:szCs w:val="22"/>
    </w:rPr>
  </w:style>
  <w:style w:type="character" w:customStyle="1" w:styleId="242">
    <w:name w:val="fontstyle11"/>
    <w:basedOn w:val="40"/>
    <w:qFormat/>
    <w:uiPriority w:val="0"/>
    <w:rPr>
      <w:rFonts w:hint="eastAsia" w:ascii="黑体" w:hAnsi="黑体" w:eastAsia="黑体"/>
      <w:color w:val="000000"/>
      <w:sz w:val="18"/>
      <w:szCs w:val="18"/>
    </w:rPr>
  </w:style>
  <w:style w:type="character" w:customStyle="1" w:styleId="243">
    <w:name w:val="fontstyle21"/>
    <w:basedOn w:val="40"/>
    <w:qFormat/>
    <w:uiPriority w:val="0"/>
    <w:rPr>
      <w:rFonts w:hint="default" w:ascii="TimesNewRomanPSMT" w:hAnsi="TimesNewRomanPSMT"/>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9118D-E3C8-4296-9CE8-4F0420B71EB2}">
  <ds:schemaRefs/>
</ds:datastoreItem>
</file>

<file path=docProps/app.xml><?xml version="1.0" encoding="utf-8"?>
<Properties xmlns="http://schemas.openxmlformats.org/officeDocument/2006/extended-properties" xmlns:vt="http://schemas.openxmlformats.org/officeDocument/2006/docPropsVTypes">
  <Template>Normal.dotm</Template>
  <Company>jngd</Company>
  <Pages>16</Pages>
  <Words>4047</Words>
  <Characters>5562</Characters>
  <Lines>68</Lines>
  <Paragraphs>19</Paragraphs>
  <TotalTime>3</TotalTime>
  <ScaleCrop>false</ScaleCrop>
  <LinksUpToDate>false</LinksUpToDate>
  <CharactersWithSpaces>5923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2025-03-10T06:55:00Z</dcterms:created>
  <dc:creator>wuzx</dc:creator>
  <cp:lastModifiedBy>Jimmy</cp:lastModifiedBy>
  <cp:lastPrinted>2016-03-16T00:55:00Z</cp:lastPrinted>
  <dcterms:modified xsi:type="dcterms:W3CDTF">2025-03-19T13:16:58Z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CB2DAD31522B4F93B0EBD6B631125868</vt:lpwstr>
  </property>
  <property fmtid="{D5CDD505-2E9C-101B-9397-08002B2CF9AE}" pid="4" name="KSOTemplateDocerSaveRecord">
    <vt:lpwstr>eyJoZGlkIjoiMzEwNTM5NzYwMDRjMzkwZTVkZjY2ODkwMGIxNGU0OTUiLCJ1c2VySWQiOiIyMjkxODkxMDUifQ==</vt:lpwstr>
  </property>
</Properties>
</file>